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BDB2F" w14:textId="77777777" w:rsidR="008D4DFB" w:rsidRPr="00A72997" w:rsidRDefault="000E4150">
      <w:pPr>
        <w:rPr>
          <w:rFonts w:ascii="Times New Roman" w:hAnsi="Times New Roman" w:cs="Times New Roman"/>
          <w:b/>
        </w:rPr>
      </w:pPr>
      <w:r w:rsidRPr="00A72997">
        <w:rPr>
          <w:rFonts w:ascii="Times New Roman" w:hAnsi="Times New Roman" w:cs="Times New Roman"/>
          <w:b/>
        </w:rPr>
        <w:t>OCCASIONALISM EAST AND WEST-ABSTRACTS</w:t>
      </w:r>
    </w:p>
    <w:p w14:paraId="3B246D05" w14:textId="77777777" w:rsidR="000E4150" w:rsidRPr="0018743E" w:rsidRDefault="000E4150">
      <w:pPr>
        <w:rPr>
          <w:rFonts w:ascii="Times New Roman" w:hAnsi="Times New Roman" w:cs="Times New Roman"/>
        </w:rPr>
      </w:pPr>
    </w:p>
    <w:p w14:paraId="7F773593" w14:textId="77777777" w:rsidR="000E4150" w:rsidRPr="00A72997" w:rsidRDefault="000E4150">
      <w:pPr>
        <w:rPr>
          <w:rFonts w:ascii="Times New Roman" w:hAnsi="Times New Roman" w:cs="Times New Roman"/>
          <w:b/>
          <w:u w:val="single"/>
        </w:rPr>
      </w:pPr>
      <w:r w:rsidRPr="00A72997">
        <w:rPr>
          <w:rFonts w:ascii="Times New Roman" w:hAnsi="Times New Roman" w:cs="Times New Roman"/>
          <w:b/>
          <w:u w:val="single"/>
        </w:rPr>
        <w:t>OCCASIONALISM IN ISLAMIC PHILOSOPHY</w:t>
      </w:r>
    </w:p>
    <w:p w14:paraId="1B4F43A9" w14:textId="77777777" w:rsidR="000E4150" w:rsidRPr="0018743E" w:rsidRDefault="000E4150">
      <w:pPr>
        <w:rPr>
          <w:rFonts w:ascii="Times New Roman" w:hAnsi="Times New Roman" w:cs="Times New Roman"/>
        </w:rPr>
      </w:pPr>
    </w:p>
    <w:p w14:paraId="4AE37C97" w14:textId="77777777" w:rsidR="000E4150" w:rsidRPr="00CE3E95" w:rsidRDefault="000E4150">
      <w:pPr>
        <w:rPr>
          <w:rFonts w:ascii="Times New Roman" w:hAnsi="Times New Roman" w:cs="Times New Roman"/>
          <w:b/>
        </w:rPr>
      </w:pPr>
      <w:r w:rsidRPr="00CE3E95">
        <w:rPr>
          <w:rFonts w:ascii="Times New Roman" w:hAnsi="Times New Roman" w:cs="Times New Roman"/>
          <w:b/>
        </w:rPr>
        <w:t>Nazif Muhtaroglu, “Al-Maturidi’s View of Causality”</w:t>
      </w:r>
    </w:p>
    <w:p w14:paraId="7DA5D022" w14:textId="77777777" w:rsidR="00A72997" w:rsidRDefault="00A72997" w:rsidP="000E4150">
      <w:pPr>
        <w:jc w:val="both"/>
        <w:rPr>
          <w:rFonts w:ascii="Times New Roman" w:hAnsi="Times New Roman" w:cs="Times New Roman"/>
        </w:rPr>
      </w:pPr>
    </w:p>
    <w:p w14:paraId="7FCD7B22" w14:textId="77777777" w:rsidR="000E4150" w:rsidRPr="0018743E" w:rsidRDefault="000E4150" w:rsidP="000E4150">
      <w:pPr>
        <w:jc w:val="both"/>
        <w:rPr>
          <w:rFonts w:ascii="Times New Roman" w:hAnsi="Times New Roman" w:cs="Times New Roman"/>
        </w:rPr>
      </w:pPr>
      <w:r w:rsidRPr="0018743E">
        <w:rPr>
          <w:rFonts w:ascii="Times New Roman" w:hAnsi="Times New Roman" w:cs="Times New Roman"/>
        </w:rPr>
        <w:t xml:space="preserve">Al-Maturidi’s view of causality has been subject to diverse interpretations. Nobody has argued so far clearly that al-Maturidi accepted occasionalism. In what follows, I argue that a careful study of the </w:t>
      </w:r>
      <w:r w:rsidRPr="0018743E">
        <w:rPr>
          <w:rFonts w:ascii="Times New Roman" w:hAnsi="Times New Roman" w:cs="Times New Roman"/>
          <w:i/>
        </w:rPr>
        <w:t>Book of Monotheism</w:t>
      </w:r>
      <w:r w:rsidRPr="0018743E">
        <w:rPr>
          <w:rFonts w:ascii="Times New Roman" w:hAnsi="Times New Roman" w:cs="Times New Roman"/>
        </w:rPr>
        <w:t xml:space="preserve"> (</w:t>
      </w:r>
      <w:r w:rsidRPr="0018743E">
        <w:rPr>
          <w:rFonts w:ascii="Times New Roman" w:hAnsi="Times New Roman" w:cs="Times New Roman"/>
          <w:i/>
        </w:rPr>
        <w:t>Kitab al-Tawhid</w:t>
      </w:r>
      <w:r w:rsidRPr="0018743E">
        <w:rPr>
          <w:rFonts w:ascii="Times New Roman" w:hAnsi="Times New Roman" w:cs="Times New Roman"/>
        </w:rPr>
        <w:t xml:space="preserve">) shows that al-Maturidi held an occasionalist position. Nonetheless, his occasionalism is not exactly the same as that of the Ash‘arites and carries some elements from the Mu‘tazilite ideas. In order to understand al-Maturidi’s view of causality properly, first, I briefly present the metaphysical systems of Abu Hudhayl al-Allaf, a significant Mu‘tazilite scholar, and al-Ash‘ari, the founder of the Ash‘arite school. Second, in comparison to these metaphysical systems, I examine al-Maturidi’s metaphysics in terms of its implications on the nature of causality. </w:t>
      </w:r>
    </w:p>
    <w:p w14:paraId="08F9BC18" w14:textId="77777777" w:rsidR="000E4150" w:rsidRDefault="000E4150" w:rsidP="000E4150">
      <w:pPr>
        <w:jc w:val="both"/>
        <w:rPr>
          <w:rFonts w:ascii="Times New Roman" w:hAnsi="Times New Roman" w:cs="Times New Roman"/>
        </w:rPr>
      </w:pPr>
    </w:p>
    <w:p w14:paraId="2179A3FA" w14:textId="77777777" w:rsidR="00CE3E95" w:rsidRPr="0018743E" w:rsidRDefault="00CE3E95" w:rsidP="000E4150">
      <w:pPr>
        <w:jc w:val="both"/>
        <w:rPr>
          <w:rFonts w:ascii="Times New Roman" w:hAnsi="Times New Roman" w:cs="Times New Roman"/>
        </w:rPr>
      </w:pPr>
    </w:p>
    <w:p w14:paraId="6FB19831" w14:textId="77777777" w:rsidR="000E4150" w:rsidRPr="00CE3E95" w:rsidRDefault="000E4150" w:rsidP="000E4150">
      <w:pPr>
        <w:jc w:val="both"/>
        <w:rPr>
          <w:rFonts w:ascii="Times New Roman" w:hAnsi="Times New Roman" w:cs="Times New Roman"/>
          <w:b/>
        </w:rPr>
      </w:pPr>
      <w:r w:rsidRPr="00CE3E95">
        <w:rPr>
          <w:rFonts w:ascii="Times New Roman" w:hAnsi="Times New Roman" w:cs="Times New Roman"/>
          <w:b/>
        </w:rPr>
        <w:t xml:space="preserve">Chryssi Sidiropoulou, “Al-Ghazali, Free Will and Extinction in Unity” </w:t>
      </w:r>
    </w:p>
    <w:p w14:paraId="5D2EA5B5" w14:textId="77777777" w:rsidR="00A72997" w:rsidRDefault="00A72997" w:rsidP="000E4150">
      <w:pPr>
        <w:jc w:val="both"/>
        <w:rPr>
          <w:rFonts w:ascii="Times New Roman" w:hAnsi="Times New Roman" w:cs="Times New Roman"/>
        </w:rPr>
      </w:pPr>
    </w:p>
    <w:p w14:paraId="2CEFF648" w14:textId="77777777" w:rsidR="000E4150" w:rsidRPr="0018743E" w:rsidRDefault="000E4150" w:rsidP="000E4150">
      <w:pPr>
        <w:jc w:val="both"/>
        <w:rPr>
          <w:rFonts w:ascii="Times New Roman" w:hAnsi="Times New Roman" w:cs="Times New Roman"/>
        </w:rPr>
      </w:pPr>
      <w:r w:rsidRPr="0018743E">
        <w:rPr>
          <w:rFonts w:ascii="Times New Roman" w:hAnsi="Times New Roman" w:cs="Times New Roman"/>
        </w:rPr>
        <w:t xml:space="preserve">In his </w:t>
      </w:r>
      <w:r w:rsidRPr="0018743E">
        <w:rPr>
          <w:rFonts w:ascii="Times New Roman" w:hAnsi="Times New Roman" w:cs="Times New Roman"/>
          <w:i/>
        </w:rPr>
        <w:t>Incoherence of the Philosophers</w:t>
      </w:r>
      <w:r w:rsidRPr="0018743E">
        <w:rPr>
          <w:rFonts w:ascii="Times New Roman" w:hAnsi="Times New Roman" w:cs="Times New Roman"/>
        </w:rPr>
        <w:t xml:space="preserve">, Al-Ghazali, forcefully criticizes the falasifa on the grounds that they introduce intermediary causes and so compromise God’s omnipotence.  The </w:t>
      </w:r>
      <w:r w:rsidRPr="0018743E">
        <w:rPr>
          <w:rFonts w:ascii="Times New Roman" w:hAnsi="Times New Roman" w:cs="Times New Roman"/>
          <w:i/>
        </w:rPr>
        <w:t xml:space="preserve">Tahafut </w:t>
      </w:r>
      <w:r w:rsidRPr="0018743E">
        <w:rPr>
          <w:rFonts w:ascii="Times New Roman" w:hAnsi="Times New Roman" w:cs="Times New Roman"/>
        </w:rPr>
        <w:t xml:space="preserve">being meant as a destruction of the falsafa, Al-Ghazali promises to offer his own constructive theory in a different work. So he puts forward his own positive views in the   </w:t>
      </w:r>
      <w:r w:rsidRPr="0018743E">
        <w:rPr>
          <w:rFonts w:ascii="Times New Roman" w:hAnsi="Times New Roman" w:cs="Times New Roman"/>
          <w:i/>
        </w:rPr>
        <w:t>Iqtisād fî al I‘tiqād (Moderation in Belief)</w:t>
      </w:r>
      <w:r w:rsidRPr="0018743E">
        <w:rPr>
          <w:rFonts w:ascii="Times New Roman" w:hAnsi="Times New Roman" w:cs="Times New Roman"/>
        </w:rPr>
        <w:t>. In it he offers an occasionalist perspective on causality which seems to deny both causal efficacy to created beings and  the necessity of causal connections in our world. Then he responds to the ensuing problem of human agency with the doctrine of acquisition (</w:t>
      </w:r>
      <w:r w:rsidRPr="0018743E">
        <w:rPr>
          <w:rFonts w:ascii="Times New Roman" w:hAnsi="Times New Roman" w:cs="Times New Roman"/>
          <w:i/>
        </w:rPr>
        <w:t>al-kasb.</w:t>
      </w:r>
      <w:r w:rsidRPr="0018743E">
        <w:rPr>
          <w:rFonts w:ascii="Times New Roman" w:hAnsi="Times New Roman" w:cs="Times New Roman"/>
        </w:rPr>
        <w:t xml:space="preserve">) The latter mainly consists in the idea that human beings do not ‘produce’ their own actions but they do </w:t>
      </w:r>
      <w:r w:rsidRPr="0018743E">
        <w:rPr>
          <w:rFonts w:ascii="Times New Roman" w:hAnsi="Times New Roman" w:cs="Times New Roman"/>
          <w:i/>
        </w:rPr>
        <w:t>acquire</w:t>
      </w:r>
      <w:r w:rsidRPr="0018743E">
        <w:rPr>
          <w:rFonts w:ascii="Times New Roman" w:hAnsi="Times New Roman" w:cs="Times New Roman"/>
        </w:rPr>
        <w:t xml:space="preserve"> them actions after God creates these actions as occasions. </w:t>
      </w:r>
    </w:p>
    <w:p w14:paraId="0CC80452" w14:textId="77777777" w:rsidR="000E4150" w:rsidRPr="0018743E" w:rsidRDefault="000E4150" w:rsidP="000E4150">
      <w:pPr>
        <w:jc w:val="both"/>
        <w:rPr>
          <w:rFonts w:ascii="Times New Roman" w:hAnsi="Times New Roman" w:cs="Times New Roman"/>
        </w:rPr>
      </w:pPr>
    </w:p>
    <w:p w14:paraId="705A814C" w14:textId="2603E631" w:rsidR="000E4150" w:rsidRPr="0018743E" w:rsidRDefault="000E4150" w:rsidP="000E4150">
      <w:pPr>
        <w:jc w:val="both"/>
        <w:rPr>
          <w:rFonts w:ascii="Times New Roman" w:hAnsi="Times New Roman" w:cs="Times New Roman"/>
        </w:rPr>
      </w:pPr>
      <w:r w:rsidRPr="0018743E">
        <w:rPr>
          <w:rFonts w:ascii="Times New Roman" w:hAnsi="Times New Roman" w:cs="Times New Roman"/>
        </w:rPr>
        <w:t xml:space="preserve">In an effort to allow for human freedom and responsibility in Al-Ghazali, contemporary scholars have attempted intrepretations of </w:t>
      </w:r>
      <w:r w:rsidRPr="0018743E">
        <w:rPr>
          <w:rFonts w:ascii="Times New Roman" w:hAnsi="Times New Roman" w:cs="Times New Roman"/>
          <w:i/>
        </w:rPr>
        <w:t>al-kasb</w:t>
      </w:r>
      <w:r w:rsidRPr="0018743E">
        <w:rPr>
          <w:rFonts w:ascii="Times New Roman" w:hAnsi="Times New Roman" w:cs="Times New Roman"/>
        </w:rPr>
        <w:t xml:space="preserve"> in a way that would vindicate human agency through secondary causation. Such an interpretation is put forward by Richard Frank in his </w:t>
      </w:r>
      <w:r w:rsidRPr="0018743E">
        <w:rPr>
          <w:rFonts w:ascii="Times New Roman" w:hAnsi="Times New Roman" w:cs="Times New Roman"/>
          <w:i/>
        </w:rPr>
        <w:t xml:space="preserve">Creation and the Cosmic System: Al-Ghazālî  and Avicenna, </w:t>
      </w:r>
      <w:r w:rsidRPr="0018743E">
        <w:rPr>
          <w:rFonts w:ascii="Times New Roman" w:hAnsi="Times New Roman" w:cs="Times New Roman"/>
        </w:rPr>
        <w:t xml:space="preserve">but is also criticisized by Michael Marmura. </w:t>
      </w:r>
      <w:r w:rsidRPr="0018743E">
        <w:rPr>
          <w:rFonts w:ascii="Times New Roman" w:hAnsi="Times New Roman" w:cs="Times New Roman"/>
          <w:i/>
        </w:rPr>
        <w:t xml:space="preserve"> </w:t>
      </w:r>
      <w:r w:rsidRPr="0018743E">
        <w:rPr>
          <w:rFonts w:ascii="Times New Roman" w:hAnsi="Times New Roman" w:cs="Times New Roman"/>
        </w:rPr>
        <w:t xml:space="preserve">In my paper I will take a different path and shift the focus of the discussion to the idea of unity to be found in the </w:t>
      </w:r>
      <w:r w:rsidRPr="0018743E">
        <w:rPr>
          <w:rFonts w:ascii="Times New Roman" w:hAnsi="Times New Roman" w:cs="Times New Roman"/>
          <w:i/>
        </w:rPr>
        <w:t xml:space="preserve">Mishkat al-Anwar.  </w:t>
      </w:r>
      <w:r w:rsidRPr="0018743E">
        <w:rPr>
          <w:rFonts w:ascii="Times New Roman" w:hAnsi="Times New Roman" w:cs="Times New Roman"/>
        </w:rPr>
        <w:t xml:space="preserve">I will argue that the sufi ideal of </w:t>
      </w:r>
      <w:r w:rsidRPr="0018743E">
        <w:rPr>
          <w:rFonts w:ascii="Times New Roman" w:hAnsi="Times New Roman" w:cs="Times New Roman"/>
          <w:i/>
        </w:rPr>
        <w:t>al fanâ  (</w:t>
      </w:r>
      <w:r w:rsidRPr="0018743E">
        <w:rPr>
          <w:rFonts w:ascii="Times New Roman" w:hAnsi="Times New Roman" w:cs="Times New Roman"/>
        </w:rPr>
        <w:t xml:space="preserve">extinction in unity) can help pose the question of acquisition under a different light. In this connection I will refer to Alexander Treiger’s discussion of the </w:t>
      </w:r>
      <w:r w:rsidRPr="0018743E">
        <w:rPr>
          <w:rFonts w:ascii="Times New Roman" w:hAnsi="Times New Roman" w:cs="Times New Roman"/>
          <w:i/>
        </w:rPr>
        <w:t>Mishkat al-Anwar</w:t>
      </w:r>
      <w:r w:rsidRPr="0018743E">
        <w:rPr>
          <w:rFonts w:ascii="Times New Roman" w:hAnsi="Times New Roman" w:cs="Times New Roman"/>
        </w:rPr>
        <w:t xml:space="preserve"> and his attempted distinction between monotheism and monism in Al-Ghazali, as well as Nazif Muhtaroglu’s response to it. Then my claim will be that the problem of human freedom is a problem of the virtual world of plurality, where the self is tied to the specific parameteres of space and time. By contrast, the drawing of the veil and the final extinction of the self reveals human agency to have been but an epiphenomenon of the world of fragmentation. Within this perspective, al-</w:t>
      </w:r>
      <w:r w:rsidRPr="0018743E">
        <w:rPr>
          <w:rFonts w:ascii="Times New Roman" w:hAnsi="Times New Roman" w:cs="Times New Roman"/>
        </w:rPr>
        <w:lastRenderedPageBreak/>
        <w:t>Ghazali’s theory of acquisition can be seen as his  solution to a</w:t>
      </w:r>
      <w:r w:rsidRPr="0018743E">
        <w:rPr>
          <w:rFonts w:ascii="Times New Roman" w:hAnsi="Times New Roman" w:cs="Times New Roman"/>
          <w:i/>
        </w:rPr>
        <w:t xml:space="preserve"> </w:t>
      </w:r>
      <w:r w:rsidRPr="0018743E">
        <w:rPr>
          <w:rFonts w:ascii="Times New Roman" w:hAnsi="Times New Roman" w:cs="Times New Roman"/>
        </w:rPr>
        <w:t>problem arising exactly because of the illusory character of this world.</w:t>
      </w:r>
    </w:p>
    <w:p w14:paraId="5B1F33B3" w14:textId="77777777" w:rsidR="000E4150" w:rsidRPr="0018743E" w:rsidRDefault="000E4150" w:rsidP="000E4150">
      <w:pPr>
        <w:jc w:val="both"/>
        <w:rPr>
          <w:rFonts w:ascii="Times New Roman" w:hAnsi="Times New Roman" w:cs="Times New Roman"/>
        </w:rPr>
      </w:pPr>
      <w:r w:rsidRPr="0018743E">
        <w:rPr>
          <w:rFonts w:ascii="Times New Roman" w:hAnsi="Times New Roman" w:cs="Times New Roman"/>
        </w:rPr>
        <w:t xml:space="preserve">Seen in this light, acquisition is in harmony with the divine omnipotence present in the </w:t>
      </w:r>
      <w:r w:rsidRPr="0018743E">
        <w:rPr>
          <w:rFonts w:ascii="Times New Roman" w:hAnsi="Times New Roman" w:cs="Times New Roman"/>
          <w:i/>
        </w:rPr>
        <w:t>Tahâfut</w:t>
      </w:r>
      <w:r w:rsidRPr="0018743E">
        <w:rPr>
          <w:rFonts w:ascii="Times New Roman" w:hAnsi="Times New Roman" w:cs="Times New Roman"/>
        </w:rPr>
        <w:t xml:space="preserve"> and</w:t>
      </w:r>
      <w:r w:rsidRPr="0018743E">
        <w:rPr>
          <w:rFonts w:ascii="Times New Roman" w:hAnsi="Times New Roman" w:cs="Times New Roman"/>
          <w:i/>
        </w:rPr>
        <w:t xml:space="preserve"> </w:t>
      </w:r>
      <w:r w:rsidRPr="0018743E">
        <w:rPr>
          <w:rFonts w:ascii="Times New Roman" w:hAnsi="Times New Roman" w:cs="Times New Roman"/>
        </w:rPr>
        <w:t xml:space="preserve"> the  </w:t>
      </w:r>
      <w:r w:rsidRPr="0018743E">
        <w:rPr>
          <w:rFonts w:ascii="Times New Roman" w:hAnsi="Times New Roman" w:cs="Times New Roman"/>
          <w:i/>
        </w:rPr>
        <w:t>Iqtisād.</w:t>
      </w:r>
      <w:r w:rsidRPr="0018743E">
        <w:rPr>
          <w:rFonts w:ascii="Times New Roman" w:hAnsi="Times New Roman" w:cs="Times New Roman"/>
        </w:rPr>
        <w:t xml:space="preserve"> In the eyes of the sufi different actions in this created world can have an ultimately different ontological source. Consequently the ability to come up with a choice between two alternatives, even if granted, cannot make man the ‘maker of his own world.’</w:t>
      </w:r>
    </w:p>
    <w:p w14:paraId="570F33DE" w14:textId="77777777" w:rsidR="00E76D3E" w:rsidRDefault="00E76D3E" w:rsidP="000E4150">
      <w:pPr>
        <w:jc w:val="both"/>
        <w:rPr>
          <w:rFonts w:ascii="Times New Roman" w:hAnsi="Times New Roman" w:cs="Times New Roman"/>
        </w:rPr>
      </w:pPr>
    </w:p>
    <w:p w14:paraId="01BF42FD" w14:textId="77777777" w:rsidR="00CE3E95" w:rsidRPr="0018743E" w:rsidRDefault="00CE3E95" w:rsidP="000E4150">
      <w:pPr>
        <w:jc w:val="both"/>
        <w:rPr>
          <w:rFonts w:ascii="Times New Roman" w:hAnsi="Times New Roman" w:cs="Times New Roman"/>
        </w:rPr>
      </w:pPr>
    </w:p>
    <w:p w14:paraId="7D459D51" w14:textId="77777777" w:rsidR="00E76D3E" w:rsidRPr="00CE3E95" w:rsidRDefault="00E76D3E" w:rsidP="00E76D3E">
      <w:pPr>
        <w:jc w:val="both"/>
        <w:rPr>
          <w:rFonts w:ascii="Times New Roman" w:hAnsi="Times New Roman" w:cs="Times New Roman"/>
          <w:b/>
        </w:rPr>
      </w:pPr>
      <w:r w:rsidRPr="00CE3E95">
        <w:rPr>
          <w:rFonts w:ascii="Times New Roman" w:hAnsi="Times New Roman" w:cs="Times New Roman"/>
          <w:b/>
        </w:rPr>
        <w:t>Ozgur Koca, “Metaphysics of Causation in Ibn Arabi and Occasionalism”</w:t>
      </w:r>
    </w:p>
    <w:p w14:paraId="6197E63F" w14:textId="77777777" w:rsidR="00A72997" w:rsidRDefault="00A72997" w:rsidP="00E76D3E">
      <w:pPr>
        <w:pStyle w:val="NormalWeb"/>
        <w:spacing w:before="0" w:beforeAutospacing="0" w:after="0" w:afterAutospacing="0"/>
        <w:rPr>
          <w:color w:val="000000"/>
        </w:rPr>
      </w:pPr>
    </w:p>
    <w:p w14:paraId="0C5ED8E4" w14:textId="095DC24D" w:rsidR="00E76D3E" w:rsidRPr="0018743E" w:rsidRDefault="00E76D3E" w:rsidP="00E76D3E">
      <w:pPr>
        <w:pStyle w:val="NormalWeb"/>
        <w:spacing w:before="0" w:beforeAutospacing="0" w:after="0" w:afterAutospacing="0"/>
        <w:rPr>
          <w:color w:val="000000"/>
        </w:rPr>
      </w:pPr>
      <w:r w:rsidRPr="0018743E">
        <w:rPr>
          <w:color w:val="000000"/>
        </w:rPr>
        <w:t xml:space="preserve">Ibn Arabi’s philosophy is grounded on the theory of </w:t>
      </w:r>
      <w:r w:rsidRPr="0018743E">
        <w:rPr>
          <w:i/>
          <w:color w:val="000000"/>
        </w:rPr>
        <w:t>tajalli</w:t>
      </w:r>
      <w:r w:rsidRPr="0018743E">
        <w:rPr>
          <w:color w:val="000000"/>
        </w:rPr>
        <w:t xml:space="preserve">. </w:t>
      </w:r>
      <w:r w:rsidRPr="0018743E">
        <w:rPr>
          <w:i/>
          <w:color w:val="000000"/>
        </w:rPr>
        <w:t>Tajalli</w:t>
      </w:r>
      <w:r w:rsidRPr="0018743E">
        <w:rPr>
          <w:color w:val="000000"/>
        </w:rPr>
        <w:t xml:space="preserve"> is a process in which God self-discloses Itself as a particular entity (</w:t>
      </w:r>
      <w:r w:rsidRPr="0018743E">
        <w:rPr>
          <w:i/>
          <w:color w:val="000000"/>
        </w:rPr>
        <w:t>taayyun</w:t>
      </w:r>
      <w:r w:rsidRPr="0018743E">
        <w:rPr>
          <w:color w:val="000000"/>
        </w:rPr>
        <w:t xml:space="preserve">).  Ibn Arabi, very simply put, asserts that the cosmos is self-disclosure of God. There are infinite possible forms of self-disclosure, that is to say there is infinite number of relations God bears to the world. The Divine Names are theological expressions classifying </w:t>
      </w:r>
      <w:r w:rsidR="00F25E5F" w:rsidRPr="0018743E">
        <w:rPr>
          <w:color w:val="000000"/>
        </w:rPr>
        <w:t>these unlimited numbers</w:t>
      </w:r>
      <w:r w:rsidRPr="0018743E">
        <w:rPr>
          <w:color w:val="000000"/>
        </w:rPr>
        <w:t xml:space="preserve"> of ways of God’s self-disclosure or delineations given to the relation of God to the manifested order.  Moreover, Ibn Arabi asserts, God’s self-disclosure never repeats itself, for God has infinite possibilities. There is no repetition in theophany (</w:t>
      </w:r>
      <w:r w:rsidRPr="0018743E">
        <w:rPr>
          <w:i/>
          <w:color w:val="000000"/>
        </w:rPr>
        <w:t>la tekrar fi tajalli)</w:t>
      </w:r>
      <w:r w:rsidRPr="0018743E">
        <w:rPr>
          <w:color w:val="000000"/>
        </w:rPr>
        <w:t xml:space="preserve">. This is the cause of change and movement in the world. The phenomenal world is actualized repeatedly and endlessly by the recurrent waves of </w:t>
      </w:r>
      <w:r w:rsidRPr="0018743E">
        <w:rPr>
          <w:i/>
          <w:color w:val="000000"/>
        </w:rPr>
        <w:t>tajalli</w:t>
      </w:r>
      <w:r w:rsidRPr="0018743E">
        <w:rPr>
          <w:color w:val="000000"/>
        </w:rPr>
        <w:t>. The created order is like an ever flowing river, the water is renewed at each moment, but the form is protected, according to its fixed entity (</w:t>
      </w:r>
      <w:r w:rsidRPr="0018743E">
        <w:rPr>
          <w:i/>
          <w:color w:val="000000"/>
        </w:rPr>
        <w:t>ayan-i sabite</w:t>
      </w:r>
      <w:r w:rsidRPr="0018743E">
        <w:rPr>
          <w:color w:val="000000"/>
        </w:rPr>
        <w:t>) in the divine knowledge. The world at every moment is annihilated and re-created (</w:t>
      </w:r>
      <w:r w:rsidRPr="0018743E">
        <w:rPr>
          <w:i/>
          <w:color w:val="000000"/>
        </w:rPr>
        <w:t>al-khalq al-jadid)</w:t>
      </w:r>
      <w:r w:rsidRPr="0018743E">
        <w:rPr>
          <w:color w:val="000000"/>
        </w:rPr>
        <w:t>. It is the constant effusion of the Breath of the Merciful (nafas ur-Rahman) that causes things to come into existence.</w:t>
      </w:r>
    </w:p>
    <w:p w14:paraId="2DB34B4A" w14:textId="77777777" w:rsidR="00E76D3E" w:rsidRPr="0018743E" w:rsidRDefault="00E76D3E" w:rsidP="00E76D3E">
      <w:pPr>
        <w:jc w:val="both"/>
        <w:rPr>
          <w:rFonts w:ascii="Times New Roman" w:hAnsi="Times New Roman" w:cs="Times New Roman"/>
        </w:rPr>
      </w:pPr>
    </w:p>
    <w:p w14:paraId="525C3305" w14:textId="77777777" w:rsidR="00E76D3E" w:rsidRPr="0018743E" w:rsidRDefault="00E76D3E" w:rsidP="00E76D3E">
      <w:pPr>
        <w:jc w:val="both"/>
        <w:rPr>
          <w:rFonts w:ascii="Times New Roman" w:hAnsi="Times New Roman" w:cs="Times New Roman"/>
        </w:rPr>
      </w:pPr>
      <w:r w:rsidRPr="0018743E">
        <w:rPr>
          <w:rFonts w:ascii="Times New Roman" w:hAnsi="Times New Roman" w:cs="Times New Roman"/>
        </w:rPr>
        <w:t xml:space="preserve">As such, there are remarkable similarities between Ibn Arabi’s doctrine of causality and Occasionalism. Drawing on Ibn Arabi’s writings (especially </w:t>
      </w:r>
      <w:r w:rsidRPr="0018743E">
        <w:rPr>
          <w:rFonts w:ascii="Times New Roman" w:hAnsi="Times New Roman" w:cs="Times New Roman"/>
          <w:i/>
        </w:rPr>
        <w:t>Fusus al-Hikam</w:t>
      </w:r>
      <w:r w:rsidRPr="0018743E">
        <w:rPr>
          <w:rFonts w:ascii="Times New Roman" w:hAnsi="Times New Roman" w:cs="Times New Roman"/>
        </w:rPr>
        <w:t>) the first part of the essay will outline the basic premises of Ibn Arabi’s doctrine of causality</w:t>
      </w:r>
      <w:r w:rsidRPr="0018743E">
        <w:rPr>
          <w:rFonts w:ascii="Times New Roman" w:hAnsi="Times New Roman" w:cs="Times New Roman"/>
          <w:i/>
        </w:rPr>
        <w:t>.</w:t>
      </w:r>
      <w:r w:rsidRPr="0018743E">
        <w:rPr>
          <w:rFonts w:ascii="Times New Roman" w:hAnsi="Times New Roman" w:cs="Times New Roman"/>
        </w:rPr>
        <w:t xml:space="preserve"> Then I will critically compare it to occasionalist doctrine of causality. Lastly, I will inquire into how Ibn Arabi’s metaphysical ontology can help Occasionalism transcend one of its major predicaments, namely, the problem of free will. </w:t>
      </w:r>
    </w:p>
    <w:p w14:paraId="361E1831" w14:textId="77777777" w:rsidR="000E4150" w:rsidRPr="0018743E" w:rsidRDefault="000E4150" w:rsidP="00E76D3E">
      <w:pPr>
        <w:jc w:val="both"/>
        <w:rPr>
          <w:rFonts w:ascii="Times New Roman" w:hAnsi="Times New Roman" w:cs="Times New Roman"/>
        </w:rPr>
      </w:pPr>
    </w:p>
    <w:p w14:paraId="3B92CD51" w14:textId="77777777" w:rsidR="000E4150" w:rsidRPr="0018743E" w:rsidRDefault="000E4150" w:rsidP="00E76D3E">
      <w:pPr>
        <w:rPr>
          <w:rFonts w:ascii="Times New Roman" w:hAnsi="Times New Roman" w:cs="Times New Roman"/>
        </w:rPr>
      </w:pPr>
    </w:p>
    <w:p w14:paraId="09DB7B24" w14:textId="77777777" w:rsidR="000E4150" w:rsidRPr="00CE3E95" w:rsidRDefault="00E76D3E" w:rsidP="00E76D3E">
      <w:pPr>
        <w:rPr>
          <w:rFonts w:ascii="Times New Roman" w:hAnsi="Times New Roman" w:cs="Times New Roman"/>
          <w:b/>
        </w:rPr>
      </w:pPr>
      <w:r w:rsidRPr="00CE3E95">
        <w:rPr>
          <w:rFonts w:ascii="Times New Roman" w:hAnsi="Times New Roman" w:cs="Times New Roman"/>
          <w:b/>
        </w:rPr>
        <w:t>Caithlyn Olson, “Ibn Humam and al-Sunusi on the Human Will and Action”</w:t>
      </w:r>
    </w:p>
    <w:p w14:paraId="440FB7F8" w14:textId="77777777" w:rsidR="00E76D3E" w:rsidRPr="0018743E" w:rsidRDefault="00E76D3E" w:rsidP="00E76D3E">
      <w:pPr>
        <w:rPr>
          <w:rFonts w:ascii="Times New Roman" w:hAnsi="Times New Roman" w:cs="Times New Roman"/>
        </w:rPr>
      </w:pPr>
    </w:p>
    <w:p w14:paraId="2A117F29" w14:textId="77777777" w:rsidR="00E76D3E" w:rsidRPr="0018743E" w:rsidRDefault="00E76D3E" w:rsidP="00E76D3E">
      <w:pPr>
        <w:rPr>
          <w:rFonts w:ascii="Times New Roman" w:hAnsi="Times New Roman" w:cs="Times New Roman"/>
        </w:rPr>
      </w:pPr>
      <w:r w:rsidRPr="0018743E">
        <w:rPr>
          <w:rFonts w:ascii="Times New Roman" w:hAnsi="Times New Roman" w:cs="Times New Roman"/>
        </w:rPr>
        <w:t>This presentation aims to describe the functioning of the human act within the occasionalist systems of two theologians in 15-century North Africa, Ibn Humam (d. 1457) and al-Sanusi (d. 1490). It will begin by examining Ibn Humam's effort to particularize the human act such that it seems just for God to hold humans responsible for heeding or not heeding His commands and prohibitions. Al-Sanusi will then be seen to reject the possibility of such a particularization and to argue instead that the human act falls wholly under the power of God.</w:t>
      </w:r>
    </w:p>
    <w:p w14:paraId="7C48081B" w14:textId="77777777" w:rsidR="00E76D3E" w:rsidRPr="0018743E" w:rsidRDefault="00E76D3E" w:rsidP="00E76D3E">
      <w:pPr>
        <w:rPr>
          <w:rFonts w:ascii="Times New Roman" w:hAnsi="Times New Roman" w:cs="Times New Roman"/>
        </w:rPr>
      </w:pPr>
    </w:p>
    <w:p w14:paraId="726BE732" w14:textId="77777777" w:rsidR="00E76D3E" w:rsidRPr="0018743E" w:rsidRDefault="00E76D3E" w:rsidP="00E76D3E">
      <w:pPr>
        <w:rPr>
          <w:rFonts w:ascii="Times New Roman" w:hAnsi="Times New Roman" w:cs="Times New Roman"/>
        </w:rPr>
      </w:pPr>
    </w:p>
    <w:p w14:paraId="30915EE1" w14:textId="77777777" w:rsidR="00E76D3E" w:rsidRPr="0018743E" w:rsidRDefault="00E76D3E" w:rsidP="00E76D3E">
      <w:pPr>
        <w:rPr>
          <w:rFonts w:ascii="Times New Roman" w:hAnsi="Times New Roman" w:cs="Times New Roman"/>
        </w:rPr>
      </w:pPr>
    </w:p>
    <w:p w14:paraId="53F19F00" w14:textId="77777777" w:rsidR="00E76D3E" w:rsidRPr="0018743E" w:rsidRDefault="00E76D3E" w:rsidP="00E76D3E">
      <w:pPr>
        <w:rPr>
          <w:rFonts w:ascii="Times New Roman" w:hAnsi="Times New Roman" w:cs="Times New Roman"/>
        </w:rPr>
      </w:pPr>
    </w:p>
    <w:p w14:paraId="776DA4DA" w14:textId="77777777" w:rsidR="00E76D3E" w:rsidRPr="00CE3E95" w:rsidRDefault="00E76D3E" w:rsidP="00E76D3E">
      <w:pPr>
        <w:rPr>
          <w:rFonts w:ascii="Times New Roman" w:hAnsi="Times New Roman" w:cs="Times New Roman"/>
          <w:b/>
        </w:rPr>
      </w:pPr>
      <w:r w:rsidRPr="00CE3E95">
        <w:rPr>
          <w:rFonts w:ascii="Times New Roman" w:hAnsi="Times New Roman" w:cs="Times New Roman"/>
          <w:b/>
        </w:rPr>
        <w:t>Colin Turner &amp; Hasan Horkuc, “Science, Scientism, and Occasionalism according to Said Nursi”</w:t>
      </w:r>
    </w:p>
    <w:p w14:paraId="445A47F1" w14:textId="77777777" w:rsidR="00E76D3E" w:rsidRPr="0018743E" w:rsidRDefault="00E76D3E" w:rsidP="00E76D3E">
      <w:pPr>
        <w:rPr>
          <w:rFonts w:ascii="Times New Roman" w:hAnsi="Times New Roman" w:cs="Times New Roman"/>
        </w:rPr>
      </w:pPr>
    </w:p>
    <w:p w14:paraId="5686AF0F" w14:textId="77777777" w:rsidR="00E76D3E" w:rsidRPr="0018743E" w:rsidRDefault="00E76D3E" w:rsidP="00E76D3E">
      <w:pPr>
        <w:rPr>
          <w:rFonts w:ascii="Times New Roman" w:hAnsi="Times New Roman" w:cs="Times New Roman"/>
        </w:rPr>
      </w:pPr>
      <w:r w:rsidRPr="0018743E">
        <w:rPr>
          <w:rFonts w:ascii="Times New Roman" w:hAnsi="Times New Roman" w:cs="Times New Roman"/>
        </w:rPr>
        <w:t>Causation, or, more precisely, the necessity and efficacy of the causal nexus, is the subject of one of the most vigorously contested debates in the history of Muslim theological and philosophical thought. Said Nursi’s approach to the question of causation appears to be informed to a certain extent by the teachings of the Ash’arite theologians and Ghazali, whose attack on Peripatetic philosophy was articulated to a certain extent in their own language and on their terms. By Nursi’s time, of course, the goalposts had now changed, and the old adversary of Peripatetic philosophy had been joined by what Nursi claimed was one of its ideological descendants, scientific materialism or naturalism. While medieval Muslim society was not devoid of its naturalists, the impact of their doctrines on the Muslim masses was minimal. By Nursi’s time, however, materialistic naturalism had become one of the most prevalent and invasive doctrines of the day, and its effects were being felt all over the Muslim world. Thus, Nursi’s work on causation should be seen not as some arid theological exercise designed to score points over rival theologians but as a serious response to a problem which, he believed, posed a very real danger to the faith of ordinary Muslim believers everywhere. Founded on the premise of causal efficacy, scientific materialism was believed by Nursi to be the major threat to the belief of not only Muslims but all the major religions at the outset of the twentieth century. His rejection of the claims of scientific materialism runs like a thread throughout his writings.</w:t>
      </w:r>
    </w:p>
    <w:p w14:paraId="07F6A95F" w14:textId="77777777" w:rsidR="00E76D3E" w:rsidRPr="0018743E" w:rsidRDefault="00E76D3E" w:rsidP="00E76D3E">
      <w:pPr>
        <w:rPr>
          <w:rFonts w:ascii="Times New Roman" w:hAnsi="Times New Roman" w:cs="Times New Roman"/>
        </w:rPr>
      </w:pPr>
    </w:p>
    <w:p w14:paraId="1CCC499A" w14:textId="77777777" w:rsidR="00E76D3E" w:rsidRPr="0018743E" w:rsidRDefault="00E76D3E" w:rsidP="00E76D3E">
      <w:pPr>
        <w:rPr>
          <w:rFonts w:ascii="Times New Roman" w:hAnsi="Times New Roman" w:cs="Times New Roman"/>
        </w:rPr>
      </w:pPr>
      <w:r w:rsidRPr="0018743E">
        <w:rPr>
          <w:rFonts w:ascii="Times New Roman" w:hAnsi="Times New Roman" w:cs="Times New Roman"/>
        </w:rPr>
        <w:t>In modern times, Muslim scholars are fixated on the issue of science and whether it is compatible with religion; some may say a fixation bordering an obsession. When the matters come to the science, scientism and religion issue, it is quite difficult to draw an outline. In this paper, after having outlined the historical background, the particular attention will be given to Nursi’s understanding of science, scientism and religion. It, then, particularly takes a closer look at causality in Nursi’s writings.</w:t>
      </w:r>
    </w:p>
    <w:p w14:paraId="6430533D" w14:textId="77777777" w:rsidR="00E76D3E" w:rsidRDefault="00E76D3E" w:rsidP="00E76D3E">
      <w:pPr>
        <w:rPr>
          <w:rFonts w:ascii="Times New Roman" w:hAnsi="Times New Roman" w:cs="Times New Roman"/>
        </w:rPr>
      </w:pPr>
    </w:p>
    <w:p w14:paraId="1B68E265" w14:textId="77777777" w:rsidR="00A72997" w:rsidRPr="0018743E" w:rsidRDefault="00A72997" w:rsidP="00E76D3E">
      <w:pPr>
        <w:rPr>
          <w:rFonts w:ascii="Times New Roman" w:hAnsi="Times New Roman" w:cs="Times New Roman"/>
        </w:rPr>
      </w:pPr>
    </w:p>
    <w:p w14:paraId="2CF63124" w14:textId="77777777" w:rsidR="00E76D3E" w:rsidRPr="00A72997" w:rsidRDefault="00E76D3E" w:rsidP="00E76D3E">
      <w:pPr>
        <w:rPr>
          <w:rFonts w:ascii="Times New Roman" w:hAnsi="Times New Roman" w:cs="Times New Roman"/>
          <w:b/>
          <w:u w:val="single"/>
        </w:rPr>
      </w:pPr>
      <w:r w:rsidRPr="00A72997">
        <w:rPr>
          <w:rFonts w:ascii="Times New Roman" w:hAnsi="Times New Roman" w:cs="Times New Roman"/>
          <w:b/>
          <w:u w:val="single"/>
        </w:rPr>
        <w:t>OCCASIONALISM IN EARLY MODERN PHILOSOPHY</w:t>
      </w:r>
    </w:p>
    <w:p w14:paraId="7BC7EDB8" w14:textId="77777777" w:rsidR="00E76D3E" w:rsidRPr="0018743E" w:rsidRDefault="00E76D3E" w:rsidP="00E76D3E">
      <w:pPr>
        <w:rPr>
          <w:rFonts w:ascii="Times New Roman" w:hAnsi="Times New Roman" w:cs="Times New Roman"/>
        </w:rPr>
      </w:pPr>
    </w:p>
    <w:p w14:paraId="49ECD991" w14:textId="39D7FA98" w:rsidR="0018743E" w:rsidRPr="0018743E" w:rsidRDefault="0018743E" w:rsidP="0018743E">
      <w:pPr>
        <w:pStyle w:val="Body"/>
        <w:rPr>
          <w:rFonts w:ascii="Times New Roman" w:hAnsi="Times New Roman"/>
          <w:b/>
          <w:szCs w:val="24"/>
        </w:rPr>
      </w:pPr>
      <w:r>
        <w:rPr>
          <w:rFonts w:ascii="Times New Roman" w:hAnsi="Times New Roman"/>
          <w:b/>
          <w:szCs w:val="24"/>
        </w:rPr>
        <w:t>Andrew Platt, “</w:t>
      </w:r>
      <w:r w:rsidRPr="0018743E">
        <w:rPr>
          <w:rFonts w:ascii="Times New Roman" w:hAnsi="Times New Roman"/>
          <w:b/>
          <w:szCs w:val="24"/>
        </w:rPr>
        <w:t>Cordemoy and the Motives for Cartesian Occasionalism</w:t>
      </w:r>
      <w:r>
        <w:rPr>
          <w:rFonts w:ascii="Times New Roman" w:hAnsi="Times New Roman"/>
          <w:b/>
          <w:szCs w:val="24"/>
        </w:rPr>
        <w:t>”</w:t>
      </w:r>
    </w:p>
    <w:p w14:paraId="65EDC8F8" w14:textId="77777777" w:rsidR="0018743E" w:rsidRPr="0018743E" w:rsidRDefault="0018743E" w:rsidP="0018743E">
      <w:pPr>
        <w:pStyle w:val="Body"/>
        <w:rPr>
          <w:rFonts w:ascii="Times New Roman" w:hAnsi="Times New Roman"/>
          <w:szCs w:val="24"/>
        </w:rPr>
      </w:pPr>
    </w:p>
    <w:p w14:paraId="6E43C242" w14:textId="5E4457C4" w:rsidR="0018743E" w:rsidRPr="0018743E" w:rsidRDefault="0018743E" w:rsidP="0018743E">
      <w:pPr>
        <w:pStyle w:val="Body"/>
        <w:rPr>
          <w:rFonts w:ascii="Times New Roman" w:hAnsi="Times New Roman"/>
          <w:szCs w:val="24"/>
        </w:rPr>
      </w:pPr>
      <w:r w:rsidRPr="0018743E">
        <w:rPr>
          <w:rFonts w:ascii="Times New Roman" w:hAnsi="Times New Roman"/>
          <w:szCs w:val="24"/>
        </w:rPr>
        <w:t>Gerauld de Cordemoy (1625-1684) was among the first wave of Cartesian thinkers to argue for Occasionalism, and perhaps the first seventeenth century author to argue for Occasionalism about all causal interactions between finite substances.  He argues for Occasionalism about both the motion of bodies and cases of mind-body interaction.  Yet Cordemoy’s discussions of motion and mind-body interaction are similar to arguments in works by authors who do not endorse Occasionalism</w:t>
      </w:r>
      <w:r w:rsidR="00F25E5F" w:rsidRPr="0018743E">
        <w:rPr>
          <w:rFonts w:ascii="Times New Roman" w:hAnsi="Times New Roman"/>
          <w:szCs w:val="24"/>
        </w:rPr>
        <w:t>, such</w:t>
      </w:r>
      <w:r w:rsidRPr="0018743E">
        <w:rPr>
          <w:rFonts w:ascii="Times New Roman" w:hAnsi="Times New Roman"/>
          <w:szCs w:val="24"/>
        </w:rPr>
        <w:t xml:space="preserve"> as the British thinkers Margaret Cavendish (1623-1673) and Joseph Glanvill (1636-1680).  The parallels between Cordemoy and his non-Occasionalist contemporaries help clarify the motives that led Cordemoy to adopt Occasionalism.  </w:t>
      </w:r>
    </w:p>
    <w:p w14:paraId="38805AF5" w14:textId="77777777" w:rsidR="0018743E" w:rsidRPr="0018743E" w:rsidRDefault="0018743E" w:rsidP="0018743E">
      <w:pPr>
        <w:pStyle w:val="Body"/>
        <w:rPr>
          <w:rFonts w:ascii="Times New Roman" w:hAnsi="Times New Roman"/>
          <w:szCs w:val="24"/>
        </w:rPr>
      </w:pPr>
    </w:p>
    <w:p w14:paraId="2F2E41F2" w14:textId="77777777" w:rsidR="0018743E" w:rsidRPr="0018743E" w:rsidRDefault="0018743E" w:rsidP="0018743E">
      <w:pPr>
        <w:pStyle w:val="Body"/>
        <w:rPr>
          <w:rFonts w:ascii="Times New Roman" w:hAnsi="Times New Roman"/>
          <w:szCs w:val="24"/>
        </w:rPr>
      </w:pPr>
      <w:r w:rsidRPr="0018743E">
        <w:rPr>
          <w:rFonts w:ascii="Times New Roman" w:hAnsi="Times New Roman"/>
          <w:szCs w:val="24"/>
        </w:rPr>
        <w:t>I outline Cordemoy’s arguments for Occasionalism, and compare one of his key arguments for Occasionalism with an argument by Cavendish.  Based on this comparison, I argue that Cordemoy’s Occasionalism was not the result of his simply following the logical implications of metaphysical theses drawn from Descartes.  Cordemoy has broader philosophical motives that explain why he, unlike Cavendish, is willing to accept the conclusion that bodies do not have any active power to move themselves or one another.  To make these broader motives more apparent, I contrast Cordemoy’s accounts of mind-body interaction and the mind-body union with Glanvill’s discussion of these topics.  I argue that Cordemoy uses Occasionalism as a way to defend the Cartesian thesis that the mind is at least as well known as the body.  Cordemoy thus sees Occasionalism as a way both to develop Cartesian metaphysics and to support Cartesian epistemology.</w:t>
      </w:r>
    </w:p>
    <w:p w14:paraId="1CA4ABB2" w14:textId="77777777" w:rsidR="0018743E" w:rsidRPr="0018743E" w:rsidRDefault="0018743E" w:rsidP="0018743E">
      <w:pPr>
        <w:pStyle w:val="Body"/>
        <w:rPr>
          <w:rFonts w:ascii="Times New Roman" w:hAnsi="Times New Roman"/>
          <w:szCs w:val="24"/>
        </w:rPr>
      </w:pPr>
    </w:p>
    <w:p w14:paraId="745B89C7" w14:textId="77777777" w:rsidR="0018743E" w:rsidRPr="0018743E" w:rsidRDefault="0018743E" w:rsidP="0018743E">
      <w:pPr>
        <w:pStyle w:val="Body"/>
        <w:rPr>
          <w:rFonts w:ascii="Times New Roman" w:eastAsia="Times New Roman" w:hAnsi="Times New Roman"/>
          <w:color w:val="auto"/>
          <w:szCs w:val="24"/>
          <w:lang w:bidi="x-none"/>
        </w:rPr>
      </w:pPr>
    </w:p>
    <w:p w14:paraId="76C18762" w14:textId="6141B7E5" w:rsidR="0018743E" w:rsidRPr="0018743E" w:rsidRDefault="0018743E" w:rsidP="0018743E">
      <w:pPr>
        <w:rPr>
          <w:rFonts w:ascii="Times New Roman" w:hAnsi="Times New Roman" w:cs="Times New Roman"/>
          <w:b/>
        </w:rPr>
      </w:pPr>
      <w:r>
        <w:rPr>
          <w:rFonts w:ascii="Times New Roman" w:hAnsi="Times New Roman" w:cs="Times New Roman"/>
          <w:b/>
        </w:rPr>
        <w:t>Walter Ott, “</w:t>
      </w:r>
      <w:r w:rsidRPr="0018743E">
        <w:rPr>
          <w:rFonts w:ascii="Times New Roman" w:hAnsi="Times New Roman" w:cs="Times New Roman"/>
          <w:b/>
        </w:rPr>
        <w:t>Occasionalism and the Powers of Minds</w:t>
      </w:r>
      <w:r>
        <w:rPr>
          <w:rFonts w:ascii="Times New Roman" w:hAnsi="Times New Roman" w:cs="Times New Roman"/>
          <w:b/>
        </w:rPr>
        <w:t>”</w:t>
      </w:r>
    </w:p>
    <w:p w14:paraId="664B542B" w14:textId="77777777" w:rsidR="0018743E" w:rsidRPr="0018743E" w:rsidRDefault="0018743E" w:rsidP="0018743E">
      <w:pPr>
        <w:rPr>
          <w:rFonts w:ascii="Times New Roman" w:hAnsi="Times New Roman" w:cs="Times New Roman"/>
        </w:rPr>
      </w:pPr>
    </w:p>
    <w:p w14:paraId="72E8ED6E" w14:textId="1F81F2E0" w:rsidR="0018743E" w:rsidRPr="0018743E" w:rsidRDefault="0018743E" w:rsidP="0018743E">
      <w:pPr>
        <w:rPr>
          <w:rFonts w:ascii="Times New Roman" w:hAnsi="Times New Roman" w:cs="Times New Roman"/>
        </w:rPr>
      </w:pPr>
      <w:r w:rsidRPr="0018743E">
        <w:rPr>
          <w:rFonts w:ascii="Times New Roman" w:hAnsi="Times New Roman" w:cs="Times New Roman"/>
        </w:rPr>
        <w:t xml:space="preserve">Malebranche’s claim that we see all things in God seems both isolated from his occasionalism and poorly motivated on its own terms. While occasionalism clearly entails that physical objects cannot cause ideas, nothing seems to rule out the possibility that ideas are innate. To make matters worse, Malebranche’s direct argument against this Platonist option is </w:t>
      </w:r>
      <w:r w:rsidR="00F25E5F" w:rsidRPr="0018743E">
        <w:rPr>
          <w:rFonts w:ascii="Times New Roman" w:hAnsi="Times New Roman" w:cs="Times New Roman"/>
        </w:rPr>
        <w:t>almost universally</w:t>
      </w:r>
      <w:r w:rsidRPr="0018743E">
        <w:rPr>
          <w:rFonts w:ascii="Times New Roman" w:hAnsi="Times New Roman" w:cs="Times New Roman"/>
        </w:rPr>
        <w:t xml:space="preserve"> regarded as a failure. </w:t>
      </w:r>
    </w:p>
    <w:p w14:paraId="6CE97FCE" w14:textId="77777777" w:rsidR="0018743E" w:rsidRPr="0018743E" w:rsidRDefault="0018743E" w:rsidP="0018743E">
      <w:pPr>
        <w:rPr>
          <w:rFonts w:ascii="Times New Roman" w:hAnsi="Times New Roman" w:cs="Times New Roman"/>
        </w:rPr>
      </w:pPr>
    </w:p>
    <w:p w14:paraId="54D902F0" w14:textId="77777777" w:rsidR="0018743E" w:rsidRPr="0018743E" w:rsidRDefault="0018743E" w:rsidP="0018743E">
      <w:pPr>
        <w:rPr>
          <w:rFonts w:ascii="Times New Roman" w:hAnsi="Times New Roman" w:cs="Times New Roman"/>
        </w:rPr>
      </w:pPr>
      <w:r w:rsidRPr="0018743E">
        <w:rPr>
          <w:rFonts w:ascii="Times New Roman" w:hAnsi="Times New Roman" w:cs="Times New Roman"/>
        </w:rPr>
        <w:t xml:space="preserve">By contrast, I argue for a tight connection between occasionalism and the vision in God doctrine. And I do so by resurrecting Malebranche’s argument against the innateness hypothesis. I shall show that, like those views that attribute causal powers to bodies, the innateness doctrine, perhaps surprisingly, must in the end attribute powers to minds that those minds cannot have. Thus Malebranche’s vision in God doctrine is of a piece with his occasionalism.  </w:t>
      </w:r>
    </w:p>
    <w:p w14:paraId="3E67677E" w14:textId="77777777" w:rsidR="0018743E" w:rsidRDefault="0018743E" w:rsidP="0018743E">
      <w:pPr>
        <w:rPr>
          <w:rFonts w:ascii="Times New Roman" w:hAnsi="Times New Roman" w:cs="Times New Roman"/>
        </w:rPr>
      </w:pPr>
    </w:p>
    <w:p w14:paraId="426A43FE" w14:textId="77777777" w:rsidR="00CE3E95" w:rsidRPr="0018743E" w:rsidRDefault="00CE3E95" w:rsidP="0018743E">
      <w:pPr>
        <w:rPr>
          <w:rFonts w:ascii="Times New Roman" w:hAnsi="Times New Roman" w:cs="Times New Roman"/>
        </w:rPr>
      </w:pPr>
    </w:p>
    <w:p w14:paraId="1FFA2A83" w14:textId="0CF778C2" w:rsidR="0018743E" w:rsidRDefault="0018743E" w:rsidP="0018743E">
      <w:pPr>
        <w:rPr>
          <w:rFonts w:ascii="Times New Roman" w:eastAsia="Times New Roman" w:hAnsi="Times New Roman" w:cs="Times New Roman"/>
          <w:b/>
        </w:rPr>
      </w:pPr>
      <w:r>
        <w:rPr>
          <w:rFonts w:ascii="Times New Roman" w:eastAsia="Times New Roman" w:hAnsi="Times New Roman" w:cs="Times New Roman"/>
          <w:b/>
        </w:rPr>
        <w:t>Fred Ablondi, “</w:t>
      </w:r>
      <w:r w:rsidRPr="0018743E">
        <w:rPr>
          <w:rFonts w:ascii="Times New Roman" w:eastAsia="Times New Roman" w:hAnsi="Times New Roman" w:cs="Times New Roman"/>
          <w:b/>
        </w:rPr>
        <w:t>Occasionalism and Secular Reason: Malebranche, Suarez, and Audi</w:t>
      </w:r>
      <w:r>
        <w:rPr>
          <w:rFonts w:ascii="Times New Roman" w:eastAsia="Times New Roman" w:hAnsi="Times New Roman" w:cs="Times New Roman"/>
          <w:b/>
        </w:rPr>
        <w:t>”</w:t>
      </w:r>
    </w:p>
    <w:p w14:paraId="3CB81F97" w14:textId="77777777" w:rsidR="0018743E" w:rsidRPr="0018743E" w:rsidRDefault="0018743E" w:rsidP="0018743E">
      <w:pPr>
        <w:rPr>
          <w:rFonts w:ascii="Times New Roman" w:eastAsia="Times New Roman" w:hAnsi="Times New Roman" w:cs="Times New Roman"/>
          <w:b/>
        </w:rPr>
      </w:pPr>
    </w:p>
    <w:p w14:paraId="662F4975" w14:textId="17B90559" w:rsidR="0018743E" w:rsidRPr="0018743E" w:rsidRDefault="0018743E" w:rsidP="0018743E">
      <w:pPr>
        <w:rPr>
          <w:rFonts w:ascii="Times New Roman" w:eastAsia="Times New Roman" w:hAnsi="Times New Roman" w:cs="Times New Roman"/>
        </w:rPr>
      </w:pPr>
      <w:r w:rsidRPr="0018743E">
        <w:rPr>
          <w:rFonts w:ascii="Times New Roman" w:eastAsia="Times New Roman" w:hAnsi="Times New Roman" w:cs="Times New Roman"/>
        </w:rPr>
        <w:t xml:space="preserve">In this paper, I first briefly present Malebranche’s three arguments for occasionalism, the view that finite beings are causally impotent and only provide the occasion for God’s exercising His efficacious will.  I then turn to Malebranche’s responses to three arguments against occasionalism made many decades earlier by the Jesuit philosopher and theologian Francisco Suarez (1548–1617), arguments </w:t>
      </w:r>
      <w:r w:rsidR="00F25E5F" w:rsidRPr="0018743E">
        <w:rPr>
          <w:rFonts w:ascii="Times New Roman" w:eastAsia="Times New Roman" w:hAnsi="Times New Roman" w:cs="Times New Roman"/>
        </w:rPr>
        <w:t>that</w:t>
      </w:r>
      <w:r w:rsidRPr="0018743E">
        <w:rPr>
          <w:rFonts w:ascii="Times New Roman" w:eastAsia="Times New Roman" w:hAnsi="Times New Roman" w:cs="Times New Roman"/>
        </w:rPr>
        <w:t xml:space="preserve"> Malebranche addresses in the 15</w:t>
      </w:r>
      <w:r w:rsidRPr="0018743E">
        <w:rPr>
          <w:rFonts w:ascii="Times New Roman" w:eastAsia="Times New Roman" w:hAnsi="Times New Roman" w:cs="Times New Roman"/>
          <w:vertAlign w:val="superscript"/>
        </w:rPr>
        <w:t>th</w:t>
      </w:r>
      <w:r w:rsidRPr="0018743E">
        <w:rPr>
          <w:rFonts w:ascii="Times New Roman" w:eastAsia="Times New Roman" w:hAnsi="Times New Roman" w:cs="Times New Roman"/>
        </w:rPr>
        <w:t xml:space="preserve"> Elucidation of his magnum opus </w:t>
      </w:r>
      <w:r w:rsidRPr="0018743E">
        <w:rPr>
          <w:rFonts w:ascii="Times New Roman" w:eastAsia="Times New Roman" w:hAnsi="Times New Roman" w:cs="Times New Roman"/>
          <w:i/>
        </w:rPr>
        <w:t>The Search after Truth</w:t>
      </w:r>
      <w:r w:rsidRPr="0018743E">
        <w:rPr>
          <w:rFonts w:ascii="Times New Roman" w:eastAsia="Times New Roman" w:hAnsi="Times New Roman" w:cs="Times New Roman"/>
        </w:rPr>
        <w:t>.  While a metaphysical disagreement between a Cartesian and a medieval thinker steeped in Aristotle and Thomas Aquinas might strike one as wholly natural, and thus uninteresting, I will argue that there is indeed something worthy of attention going on in the 15</w:t>
      </w:r>
      <w:r w:rsidRPr="0018743E">
        <w:rPr>
          <w:rFonts w:ascii="Times New Roman" w:eastAsia="Times New Roman" w:hAnsi="Times New Roman" w:cs="Times New Roman"/>
          <w:vertAlign w:val="superscript"/>
        </w:rPr>
        <w:t>th</w:t>
      </w:r>
      <w:r w:rsidRPr="0018743E">
        <w:rPr>
          <w:rFonts w:ascii="Times New Roman" w:eastAsia="Times New Roman" w:hAnsi="Times New Roman" w:cs="Times New Roman"/>
        </w:rPr>
        <w:t xml:space="preserve"> Elucidation.  Specifically, none of Malebranche’s replies to Suarez draw on the a priori arguments he explicitly makes in </w:t>
      </w:r>
      <w:r w:rsidRPr="0018743E">
        <w:rPr>
          <w:rFonts w:ascii="Times New Roman" w:eastAsia="Times New Roman" w:hAnsi="Times New Roman" w:cs="Times New Roman"/>
          <w:i/>
        </w:rPr>
        <w:t>The Search</w:t>
      </w:r>
      <w:r w:rsidRPr="0018743E">
        <w:rPr>
          <w:rFonts w:ascii="Times New Roman" w:eastAsia="Times New Roman" w:hAnsi="Times New Roman" w:cs="Times New Roman"/>
        </w:rPr>
        <w:t xml:space="preserve">.  To make some sense of Malebranche’s rhetorical strategy in this debate, I turn to some recent work by the contemporary philosopher Robert Audi.  Namely, I will use Audi’s notion of “secular reason” as a lens for making sense of the debate between Malebranche and Suarez.  What I hope to demonstrate is that this old debate can be helpfully understood in light of very contemporary framework.  Moreover, I will suggest that those engaged in contemporary debates concerning public discourse and “public” evidentiary criteria might find strange resources by looking to this old discussion of God’s action in the world.  </w:t>
      </w:r>
    </w:p>
    <w:p w14:paraId="3F21EF36" w14:textId="77777777" w:rsidR="0018743E" w:rsidRPr="0018743E" w:rsidRDefault="0018743E" w:rsidP="0018743E">
      <w:pPr>
        <w:rPr>
          <w:rFonts w:ascii="Times New Roman" w:eastAsia="Times New Roman" w:hAnsi="Times New Roman" w:cs="Times New Roman"/>
        </w:rPr>
      </w:pPr>
    </w:p>
    <w:p w14:paraId="13E2BF10" w14:textId="77777777" w:rsidR="0018743E" w:rsidRPr="0018743E" w:rsidRDefault="0018743E" w:rsidP="0018743E">
      <w:pPr>
        <w:rPr>
          <w:rFonts w:ascii="Times New Roman" w:hAnsi="Times New Roman" w:cs="Times New Roman"/>
        </w:rPr>
      </w:pPr>
    </w:p>
    <w:p w14:paraId="7CC8977C" w14:textId="28FBC56E" w:rsidR="0018743E" w:rsidRPr="0018743E" w:rsidRDefault="0018743E" w:rsidP="0018743E">
      <w:pPr>
        <w:rPr>
          <w:rFonts w:ascii="Times New Roman" w:hAnsi="Times New Roman" w:cs="Times New Roman"/>
          <w:b/>
        </w:rPr>
      </w:pPr>
      <w:r>
        <w:rPr>
          <w:rFonts w:ascii="Times New Roman" w:hAnsi="Times New Roman" w:cs="Times New Roman"/>
          <w:b/>
        </w:rPr>
        <w:t>Julie Walsh, “</w:t>
      </w:r>
      <w:r w:rsidRPr="0018743E">
        <w:rPr>
          <w:rFonts w:ascii="Times New Roman" w:hAnsi="Times New Roman" w:cs="Times New Roman"/>
          <w:b/>
        </w:rPr>
        <w:t>Occasionalism and the mechanistic philosophy: Malebranche's metaphysics and method</w:t>
      </w:r>
      <w:r>
        <w:rPr>
          <w:rFonts w:ascii="Times New Roman" w:hAnsi="Times New Roman" w:cs="Times New Roman"/>
          <w:b/>
        </w:rPr>
        <w:t>”</w:t>
      </w:r>
      <w:r w:rsidRPr="0018743E">
        <w:rPr>
          <w:rFonts w:ascii="Times New Roman" w:hAnsi="Times New Roman" w:cs="Times New Roman"/>
          <w:b/>
        </w:rPr>
        <w:t> </w:t>
      </w:r>
    </w:p>
    <w:p w14:paraId="5E0EEB5C" w14:textId="77777777" w:rsidR="0018743E" w:rsidRPr="0018743E" w:rsidRDefault="0018743E" w:rsidP="0018743E">
      <w:pPr>
        <w:rPr>
          <w:rFonts w:ascii="Times New Roman" w:hAnsi="Times New Roman" w:cs="Times New Roman"/>
        </w:rPr>
      </w:pPr>
    </w:p>
    <w:p w14:paraId="1C9B59F3" w14:textId="193B6690" w:rsidR="0018743E" w:rsidRPr="0018743E" w:rsidRDefault="0018743E" w:rsidP="0018743E">
      <w:pPr>
        <w:rPr>
          <w:rFonts w:ascii="Times New Roman" w:hAnsi="Times New Roman" w:cs="Times New Roman"/>
        </w:rPr>
      </w:pPr>
      <w:r w:rsidRPr="0018743E">
        <w:rPr>
          <w:rFonts w:ascii="Times New Roman" w:hAnsi="Times New Roman" w:cs="Times New Roman"/>
        </w:rPr>
        <w:t>The incompatibility between Malebranche's causal theory - occasionalism - and his affirmation that human beings have some kind of freedom has led many commentators to conclude that an irremediable contradiction rests at the heart of his philosophical system. In this paper, I will suggest that with a full appreciation of the depth of Malebranche's subscription to the mechanistic philosophy, we can see that occasionalism is actually a red herring in the debate about human freedom. I suggest that focusing on the incompatibility between occasionalism and human freedom ignores the mechanism Malebranche proposes for his understanding of the connection between psychological and physiological process that lead to human action. We can discuss these processes as effects of God's general volitions and we can understand the 'causal' connection between processes that lead to habit development, etc. For Malebranche, we must always come back to occasionalism as the explanatory principle at the metaphysical level, but that we can profitably discuss 'causal processes' at the physical and psychological level. From this perspective, Malebranche's view of freedom is brought very near to view articulated by Hobbes and perhaps most famously by Spinoza: if one believes one's will to be free, this is a sure sign a failure to understand the causes that determine behavior. Only once we understand these causes are we in a position to be free - a freedom that is nothing more than freedom from the ignorance of the structure of the causal chains that lead to action. Malebranche, like Hobbes and Spinoza, leaves us without an easy answer to the following question: how can we go about changing what we find pleasing, or the habits that are by adulthood deeply (and literally) engrained? Absent diligent teachers and/or divine grace, is it possible to choose to pay attention to the long-distance pleasure of true knowledge? But his difficulty in answering this question is not a consequence of his occasionalism; it is a consequence of his mechanical explanation of the connection between psychology and physiology</w:t>
      </w:r>
      <w:r w:rsidR="00F25E5F" w:rsidRPr="0018743E">
        <w:rPr>
          <w:rFonts w:ascii="Times New Roman" w:hAnsi="Times New Roman" w:cs="Times New Roman"/>
        </w:rPr>
        <w:t>.  </w:t>
      </w:r>
    </w:p>
    <w:p w14:paraId="0ED68CD5" w14:textId="77777777" w:rsidR="0018743E" w:rsidRPr="0018743E" w:rsidRDefault="0018743E" w:rsidP="0018743E">
      <w:pPr>
        <w:rPr>
          <w:rFonts w:ascii="Times New Roman" w:hAnsi="Times New Roman" w:cs="Times New Roman"/>
        </w:rPr>
      </w:pPr>
    </w:p>
    <w:p w14:paraId="21C1F890" w14:textId="77777777" w:rsidR="00A72997" w:rsidRDefault="00A72997" w:rsidP="0018743E">
      <w:pPr>
        <w:widowControl w:val="0"/>
        <w:autoSpaceDE w:val="0"/>
        <w:autoSpaceDN w:val="0"/>
        <w:adjustRightInd w:val="0"/>
        <w:rPr>
          <w:rFonts w:ascii="Times New Roman" w:hAnsi="Times New Roman" w:cs="Times New Roman"/>
          <w:b/>
        </w:rPr>
      </w:pPr>
    </w:p>
    <w:p w14:paraId="19A4155D" w14:textId="41031601" w:rsidR="0018743E" w:rsidRPr="0018743E" w:rsidRDefault="0018743E" w:rsidP="0018743E">
      <w:pPr>
        <w:widowControl w:val="0"/>
        <w:autoSpaceDE w:val="0"/>
        <w:autoSpaceDN w:val="0"/>
        <w:adjustRightInd w:val="0"/>
        <w:rPr>
          <w:rFonts w:ascii="Times New Roman" w:hAnsi="Times New Roman" w:cs="Times New Roman"/>
          <w:b/>
        </w:rPr>
      </w:pPr>
      <w:r>
        <w:rPr>
          <w:rFonts w:ascii="Times New Roman" w:hAnsi="Times New Roman" w:cs="Times New Roman"/>
          <w:b/>
        </w:rPr>
        <w:t>Tad Schmaltz, “</w:t>
      </w:r>
      <w:r w:rsidRPr="0018743E">
        <w:rPr>
          <w:rFonts w:ascii="Times New Roman" w:hAnsi="Times New Roman" w:cs="Times New Roman"/>
          <w:b/>
        </w:rPr>
        <w:t>Laws and Order in Malebranche and Berkeley</w:t>
      </w:r>
      <w:r>
        <w:rPr>
          <w:rFonts w:ascii="Times New Roman" w:hAnsi="Times New Roman" w:cs="Times New Roman"/>
          <w:b/>
        </w:rPr>
        <w:t>”</w:t>
      </w:r>
    </w:p>
    <w:p w14:paraId="46D447EF" w14:textId="77777777" w:rsidR="0018743E" w:rsidRPr="0018743E" w:rsidRDefault="0018743E" w:rsidP="0018743E">
      <w:pPr>
        <w:widowControl w:val="0"/>
        <w:autoSpaceDE w:val="0"/>
        <w:autoSpaceDN w:val="0"/>
        <w:adjustRightInd w:val="0"/>
        <w:jc w:val="center"/>
        <w:rPr>
          <w:rFonts w:ascii="Times New Roman" w:hAnsi="Times New Roman" w:cs="Times New Roman"/>
        </w:rPr>
      </w:pPr>
    </w:p>
    <w:p w14:paraId="167B42D9" w14:textId="77777777" w:rsidR="0018743E" w:rsidRPr="0018743E" w:rsidRDefault="0018743E" w:rsidP="0018743E">
      <w:pPr>
        <w:widowControl w:val="0"/>
        <w:autoSpaceDE w:val="0"/>
        <w:autoSpaceDN w:val="0"/>
        <w:adjustRightInd w:val="0"/>
        <w:rPr>
          <w:rFonts w:ascii="Times New Roman" w:hAnsi="Times New Roman" w:cs="Times New Roman"/>
        </w:rPr>
      </w:pPr>
      <w:r w:rsidRPr="0018743E">
        <w:rPr>
          <w:rFonts w:ascii="Times New Roman" w:hAnsi="Times New Roman" w:cs="Times New Roman"/>
        </w:rPr>
        <w:t>A distinctive element of the occasionalism of Nicolas Malebranche is his insistence that there is a natural and moral order encoded in general laws or universal rules. I consider the basis for this insistence in Malebranche, as well as the development of his emphasis on generality in the later work of George Berkeley.  Both Malebranche and Berkeley appeal to God in order to explain the predominance of general laws in nature and morality.  However, whereas Malebranche emphasizes that general laws promote God's glory, Berkeley stresses instead that God imposes these laws for our benefit.  There is thus in Berkeley an interesting anthropocentric alternative to Malebranche's more theocentric view of nature and morality.</w:t>
      </w:r>
    </w:p>
    <w:p w14:paraId="11C0377B" w14:textId="77777777" w:rsidR="0018743E" w:rsidRPr="0018743E" w:rsidRDefault="0018743E" w:rsidP="0018743E">
      <w:pPr>
        <w:rPr>
          <w:rFonts w:ascii="Times New Roman" w:hAnsi="Times New Roman" w:cs="Times New Roman"/>
        </w:rPr>
      </w:pPr>
    </w:p>
    <w:p w14:paraId="161D34F4" w14:textId="77777777" w:rsidR="0018743E" w:rsidRPr="0018743E" w:rsidRDefault="0018743E" w:rsidP="0018743E">
      <w:pPr>
        <w:rPr>
          <w:rFonts w:ascii="Times New Roman" w:hAnsi="Times New Roman" w:cs="Times New Roman"/>
        </w:rPr>
      </w:pPr>
    </w:p>
    <w:p w14:paraId="3FF79C29" w14:textId="1A9D1560" w:rsidR="00E76D3E" w:rsidRPr="00A72997" w:rsidRDefault="0018743E" w:rsidP="00E76D3E">
      <w:pPr>
        <w:rPr>
          <w:rFonts w:ascii="Times New Roman" w:hAnsi="Times New Roman" w:cs="Times New Roman"/>
          <w:b/>
          <w:u w:val="single"/>
        </w:rPr>
      </w:pPr>
      <w:r w:rsidRPr="00A72997">
        <w:rPr>
          <w:rFonts w:ascii="Times New Roman" w:hAnsi="Times New Roman" w:cs="Times New Roman"/>
          <w:b/>
          <w:u w:val="single"/>
        </w:rPr>
        <w:t>OCCASIONALISM IN CONTEMPORARY PHILOSOPHY</w:t>
      </w:r>
    </w:p>
    <w:p w14:paraId="7619392A" w14:textId="77777777" w:rsidR="00CE3E95" w:rsidRDefault="00CE3E95" w:rsidP="00E76D3E">
      <w:pPr>
        <w:rPr>
          <w:rFonts w:ascii="Times New Roman" w:hAnsi="Times New Roman" w:cs="Times New Roman"/>
        </w:rPr>
      </w:pPr>
    </w:p>
    <w:p w14:paraId="07C5F4BF" w14:textId="197D46FE" w:rsidR="00CE3E95" w:rsidRPr="00A72997" w:rsidRDefault="00CE3E95"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jc w:val="both"/>
        <w:rPr>
          <w:rFonts w:ascii="Times New Roman" w:hAnsi="Times New Roman" w:cs="Times New Roman"/>
          <w:b/>
        </w:rPr>
      </w:pPr>
      <w:r w:rsidRPr="00A72997">
        <w:rPr>
          <w:rFonts w:ascii="Times New Roman" w:hAnsi="Times New Roman" w:cs="Times New Roman"/>
          <w:b/>
        </w:rPr>
        <w:t>Walter J. Schultz &amp; Lisanne D’Andrea Winslow “Divine Compositionalism: A Form of Occasionalism or a Preferable Alternative View of Divine Action?”</w:t>
      </w:r>
    </w:p>
    <w:p w14:paraId="12FE04B0" w14:textId="77777777" w:rsidR="00CE3E95" w:rsidRPr="00A72997" w:rsidRDefault="00CE3E95"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312" w:lineRule="auto"/>
        <w:jc w:val="both"/>
        <w:rPr>
          <w:rFonts w:ascii="Times New Roman" w:hAnsi="Times New Roman" w:cs="Times New Roman"/>
        </w:rPr>
      </w:pPr>
    </w:p>
    <w:p w14:paraId="32F8E585" w14:textId="10CAAACD" w:rsidR="00CE3E95" w:rsidRPr="00A72997" w:rsidRDefault="00CE3E95" w:rsidP="00CE3E95">
      <w:pPr>
        <w:spacing w:line="276" w:lineRule="auto"/>
        <w:jc w:val="both"/>
        <w:rPr>
          <w:rFonts w:ascii="Times New Roman" w:hAnsi="Times New Roman" w:cs="Times New Roman"/>
          <w:color w:val="000000" w:themeColor="text1"/>
        </w:rPr>
      </w:pPr>
      <w:r w:rsidRPr="00A72997">
        <w:rPr>
          <w:rFonts w:ascii="Times New Roman" w:hAnsi="Times New Roman" w:cs="Times New Roman"/>
          <w:iCs/>
          <w:color w:val="000000" w:themeColor="text1"/>
        </w:rPr>
        <w:t xml:space="preserve">We first characterize </w:t>
      </w:r>
      <w:r w:rsidRPr="00A72997">
        <w:rPr>
          <w:rFonts w:ascii="Times New Roman" w:hAnsi="Times New Roman" w:cs="Times New Roman"/>
          <w:i/>
          <w:iCs/>
          <w:color w:val="000000" w:themeColor="text1"/>
        </w:rPr>
        <w:t>occasionalism</w:t>
      </w:r>
      <w:r w:rsidRPr="00A72997">
        <w:rPr>
          <w:rFonts w:ascii="Times New Roman" w:hAnsi="Times New Roman" w:cs="Times New Roman"/>
          <w:iCs/>
          <w:color w:val="000000" w:themeColor="text1"/>
        </w:rPr>
        <w:t xml:space="preserve"> in general.  Our aim is to </w:t>
      </w:r>
      <w:r w:rsidRPr="00A72997">
        <w:rPr>
          <w:rFonts w:ascii="Times New Roman" w:hAnsi="Times New Roman" w:cs="Times New Roman"/>
          <w:color w:val="000000" w:themeColor="text1"/>
        </w:rPr>
        <w:t xml:space="preserve">recommend </w:t>
      </w:r>
      <w:r w:rsidRPr="00A72997">
        <w:rPr>
          <w:rFonts w:ascii="Times New Roman" w:hAnsi="Times New Roman" w:cs="Times New Roman"/>
          <w:i/>
          <w:color w:val="000000" w:themeColor="text1"/>
        </w:rPr>
        <w:t>Divine Compositionalism</w:t>
      </w:r>
      <w:r w:rsidRPr="00A72997">
        <w:rPr>
          <w:rFonts w:ascii="Times New Roman" w:hAnsi="Times New Roman" w:cs="Times New Roman"/>
          <w:color w:val="000000" w:themeColor="text1"/>
        </w:rPr>
        <w:t xml:space="preserve"> as alternative view of divine creative action by comparing and contrasting it to </w:t>
      </w:r>
      <w:r w:rsidRPr="00A72997">
        <w:rPr>
          <w:rFonts w:ascii="Times New Roman" w:hAnsi="Times New Roman" w:cs="Times New Roman"/>
          <w:i/>
          <w:iCs/>
          <w:color w:val="000000" w:themeColor="text1"/>
        </w:rPr>
        <w:t>occasionalism</w:t>
      </w:r>
      <w:r w:rsidRPr="00A72997">
        <w:rPr>
          <w:rFonts w:ascii="Times New Roman" w:hAnsi="Times New Roman" w:cs="Times New Roman"/>
          <w:iCs/>
          <w:color w:val="000000" w:themeColor="text1"/>
        </w:rPr>
        <w:t xml:space="preserve">, which it closely resembles but from which it differs in significant ways.  </w:t>
      </w:r>
      <w:r w:rsidRPr="00A72997">
        <w:rPr>
          <w:rFonts w:ascii="Times New Roman" w:hAnsi="Times New Roman" w:cs="Times New Roman"/>
          <w:color w:val="000000" w:themeColor="text1"/>
          <w:lang w:val="en-CA"/>
        </w:rPr>
        <w:fldChar w:fldCharType="begin"/>
      </w:r>
      <w:r w:rsidRPr="00A72997">
        <w:rPr>
          <w:rFonts w:ascii="Times New Roman" w:hAnsi="Times New Roman" w:cs="Times New Roman"/>
          <w:color w:val="000000" w:themeColor="text1"/>
          <w:lang w:val="en-CA"/>
        </w:rPr>
        <w:instrText xml:space="preserve"> SEQ CHAPTER \h \r 1</w:instrText>
      </w:r>
      <w:r w:rsidRPr="00A72997">
        <w:rPr>
          <w:rFonts w:ascii="Times New Roman" w:hAnsi="Times New Roman" w:cs="Times New Roman"/>
          <w:color w:val="000000" w:themeColor="text1"/>
          <w:lang w:val="en-CA"/>
        </w:rPr>
        <w:fldChar w:fldCharType="end"/>
      </w:r>
      <w:r w:rsidRPr="00A72997">
        <w:rPr>
          <w:rFonts w:ascii="Times New Roman" w:hAnsi="Times New Roman" w:cs="Times New Roman"/>
          <w:color w:val="000000" w:themeColor="text1"/>
        </w:rPr>
        <w:t>Miller (2010) summarizes occasionalism as follows:  “God alone is the true and total cause and that the events we commonly identify as causes are merely the occasions upon which God brings about effects“.</w:t>
      </w:r>
      <w:r w:rsidRPr="00A72997">
        <w:rPr>
          <w:rStyle w:val="FootnoteReference"/>
          <w:rFonts w:ascii="Times New Roman" w:hAnsi="Times New Roman"/>
          <w:color w:val="000000" w:themeColor="text1"/>
        </w:rPr>
        <w:footnoteReference w:id="1"/>
      </w:r>
      <w:r w:rsidRPr="00A72997">
        <w:rPr>
          <w:rFonts w:ascii="Times New Roman" w:hAnsi="Times New Roman" w:cs="Times New Roman"/>
          <w:color w:val="000000" w:themeColor="text1"/>
        </w:rPr>
        <w:t xml:space="preserve">  Nadler (2011) clarifies that “Occasionalism represents one species or variety of occasional causation, namely, that species in which the proximate and efficient cause whose operation (through efficient causation) is elicited by the occasional cause is God.”</w:t>
      </w:r>
      <w:r w:rsidRPr="00A72997">
        <w:rPr>
          <w:rStyle w:val="FootnoteReference"/>
          <w:rFonts w:ascii="Times New Roman" w:hAnsi="Times New Roman"/>
          <w:color w:val="000000" w:themeColor="text1"/>
        </w:rPr>
        <w:footnoteReference w:id="2"/>
      </w:r>
      <w:r w:rsidRPr="00A72997">
        <w:rPr>
          <w:rFonts w:ascii="Times New Roman" w:hAnsi="Times New Roman" w:cs="Times New Roman"/>
          <w:color w:val="000000" w:themeColor="text1"/>
        </w:rPr>
        <w:t xml:space="preserve"> Thus, in order for a view of divine creative action to qualify as a species of occasionalism it must entail (1) that </w:t>
      </w:r>
      <w:r w:rsidRPr="00A72997">
        <w:rPr>
          <w:rFonts w:ascii="Times New Roman" w:hAnsi="Times New Roman" w:cs="Times New Roman"/>
          <w:i/>
          <w:iCs/>
          <w:color w:val="000000" w:themeColor="text1"/>
        </w:rPr>
        <w:t>God is the only ontologically-independent source of causation,</w:t>
      </w:r>
      <w:r w:rsidRPr="00A72997">
        <w:rPr>
          <w:rStyle w:val="FootnoteReference"/>
          <w:rFonts w:ascii="Times New Roman" w:hAnsi="Times New Roman"/>
          <w:i/>
          <w:iCs/>
          <w:color w:val="000000" w:themeColor="text1"/>
        </w:rPr>
        <w:footnoteReference w:id="3"/>
      </w:r>
      <w:r w:rsidRPr="00A72997">
        <w:rPr>
          <w:rFonts w:ascii="Times New Roman" w:hAnsi="Times New Roman" w:cs="Times New Roman"/>
          <w:color w:val="000000" w:themeColor="text1"/>
        </w:rPr>
        <w:t xml:space="preserve"> (2) that </w:t>
      </w:r>
      <w:r w:rsidRPr="00A72997">
        <w:rPr>
          <w:rFonts w:ascii="Times New Roman" w:hAnsi="Times New Roman" w:cs="Times New Roman"/>
          <w:i/>
          <w:color w:val="000000" w:themeColor="text1"/>
        </w:rPr>
        <w:t>e</w:t>
      </w:r>
      <w:r w:rsidRPr="00A72997">
        <w:rPr>
          <w:rFonts w:ascii="Times New Roman" w:hAnsi="Times New Roman" w:cs="Times New Roman"/>
          <w:i/>
          <w:iCs/>
          <w:color w:val="000000" w:themeColor="text1"/>
        </w:rPr>
        <w:t>very event is God’s direct action ad extra,</w:t>
      </w:r>
      <w:r w:rsidRPr="00A72997">
        <w:rPr>
          <w:rFonts w:ascii="Times New Roman" w:hAnsi="Times New Roman" w:cs="Times New Roman"/>
          <w:color w:val="000000" w:themeColor="text1"/>
        </w:rPr>
        <w:t xml:space="preserve"> and (3) that </w:t>
      </w:r>
      <w:r w:rsidRPr="00A72997">
        <w:rPr>
          <w:rFonts w:ascii="Times New Roman" w:hAnsi="Times New Roman" w:cs="Times New Roman"/>
          <w:i/>
          <w:color w:val="000000" w:themeColor="text1"/>
        </w:rPr>
        <w:t xml:space="preserve">it is </w:t>
      </w:r>
      <w:r w:rsidRPr="00A72997">
        <w:rPr>
          <w:rFonts w:ascii="Times New Roman" w:hAnsi="Times New Roman" w:cs="Times New Roman"/>
          <w:i/>
          <w:iCs/>
          <w:color w:val="000000" w:themeColor="text1"/>
        </w:rPr>
        <w:t xml:space="preserve">a species </w:t>
      </w:r>
      <w:r w:rsidR="00A72997" w:rsidRPr="00A72997">
        <w:rPr>
          <w:rFonts w:ascii="Times New Roman" w:hAnsi="Times New Roman" w:cs="Times New Roman"/>
          <w:i/>
          <w:iCs/>
          <w:color w:val="000000" w:themeColor="text1"/>
        </w:rPr>
        <w:t>of occasional</w:t>
      </w:r>
      <w:r w:rsidRPr="00A72997">
        <w:rPr>
          <w:rFonts w:ascii="Times New Roman" w:hAnsi="Times New Roman" w:cs="Times New Roman"/>
          <w:b/>
          <w:bCs/>
          <w:i/>
          <w:iCs/>
          <w:color w:val="000000" w:themeColor="text1"/>
        </w:rPr>
        <w:t xml:space="preserve"> causation </w:t>
      </w:r>
      <w:r w:rsidRPr="00A72997">
        <w:rPr>
          <w:rFonts w:ascii="Times New Roman" w:hAnsi="Times New Roman" w:cs="Times New Roman"/>
          <w:color w:val="000000"/>
        </w:rPr>
        <w:t xml:space="preserve">defined as “A substance (event or state of affairs) </w:t>
      </w:r>
      <w:r w:rsidRPr="00A72997">
        <w:rPr>
          <w:rFonts w:ascii="Times New Roman" w:hAnsi="Times New Roman" w:cs="Times New Roman"/>
          <w:i/>
          <w:color w:val="000000"/>
        </w:rPr>
        <w:t>A</w:t>
      </w:r>
      <w:r w:rsidRPr="00A72997">
        <w:rPr>
          <w:rFonts w:ascii="Times New Roman" w:hAnsi="Times New Roman" w:cs="Times New Roman"/>
          <w:color w:val="000000"/>
        </w:rPr>
        <w:t xml:space="preserve"> induces or elicits—but not efficiently causes—substance (event or state of affairs) </w:t>
      </w:r>
      <w:r w:rsidRPr="00A72997">
        <w:rPr>
          <w:rFonts w:ascii="Times New Roman" w:hAnsi="Times New Roman" w:cs="Times New Roman"/>
          <w:i/>
          <w:color w:val="000000"/>
        </w:rPr>
        <w:t>B</w:t>
      </w:r>
      <w:r w:rsidRPr="00A72997">
        <w:rPr>
          <w:rFonts w:ascii="Times New Roman" w:hAnsi="Times New Roman" w:cs="Times New Roman"/>
          <w:color w:val="000000"/>
        </w:rPr>
        <w:t xml:space="preserve"> to efficiently cause </w:t>
      </w:r>
      <w:r w:rsidRPr="00A72997">
        <w:rPr>
          <w:rFonts w:ascii="Times New Roman" w:hAnsi="Times New Roman" w:cs="Times New Roman"/>
          <w:i/>
          <w:color w:val="000000"/>
        </w:rPr>
        <w:t>e</w:t>
      </w:r>
      <w:r w:rsidRPr="00A72997">
        <w:rPr>
          <w:rFonts w:ascii="Times New Roman" w:hAnsi="Times New Roman" w:cs="Times New Roman"/>
          <w:color w:val="000000"/>
        </w:rPr>
        <w:t>.“</w:t>
      </w:r>
      <w:r w:rsidRPr="00A72997">
        <w:rPr>
          <w:rStyle w:val="FootnoteReference"/>
          <w:rFonts w:ascii="Times New Roman" w:hAnsi="Times New Roman"/>
          <w:color w:val="000000"/>
        </w:rPr>
        <w:footnoteReference w:id="4"/>
      </w:r>
    </w:p>
    <w:p w14:paraId="1525A143" w14:textId="77777777" w:rsidR="00A72997" w:rsidRDefault="00A72997" w:rsidP="00CE3E95">
      <w:pPr>
        <w:spacing w:line="276" w:lineRule="auto"/>
        <w:jc w:val="both"/>
        <w:rPr>
          <w:rFonts w:ascii="Times New Roman" w:hAnsi="Times New Roman" w:cs="Times New Roman"/>
          <w:color w:val="000000" w:themeColor="text1"/>
        </w:rPr>
      </w:pPr>
    </w:p>
    <w:p w14:paraId="1189DC76" w14:textId="6078CB8C" w:rsidR="00CE3E95" w:rsidRPr="00A72997" w:rsidRDefault="00CE3E95" w:rsidP="00CE3E95">
      <w:pPr>
        <w:spacing w:line="276" w:lineRule="auto"/>
        <w:jc w:val="both"/>
        <w:rPr>
          <w:rFonts w:ascii="Times New Roman" w:hAnsi="Times New Roman" w:cs="Times New Roman"/>
          <w:color w:val="000000"/>
        </w:rPr>
      </w:pPr>
      <w:r w:rsidRPr="00A72997">
        <w:rPr>
          <w:rFonts w:ascii="Times New Roman" w:hAnsi="Times New Roman" w:cs="Times New Roman"/>
          <w:color w:val="000000" w:themeColor="text1"/>
        </w:rPr>
        <w:t xml:space="preserve">Second, with this set of conditions in place we present </w:t>
      </w:r>
      <w:r w:rsidRPr="00A72997">
        <w:rPr>
          <w:rFonts w:ascii="Times New Roman" w:hAnsi="Times New Roman" w:cs="Times New Roman"/>
          <w:i/>
          <w:color w:val="000000" w:themeColor="text1"/>
        </w:rPr>
        <w:t>Divine Compositionalism</w:t>
      </w:r>
      <w:r w:rsidRPr="00A72997">
        <w:rPr>
          <w:rFonts w:ascii="Times New Roman" w:hAnsi="Times New Roman" w:cs="Times New Roman"/>
          <w:color w:val="000000" w:themeColor="text1"/>
        </w:rPr>
        <w:t xml:space="preserve"> </w:t>
      </w:r>
      <w:r w:rsidRPr="00A72997">
        <w:rPr>
          <w:rFonts w:ascii="Times New Roman" w:hAnsi="Times New Roman" w:cs="Times New Roman"/>
        </w:rPr>
        <w:t xml:space="preserve">and its conceptualization of God’s </w:t>
      </w:r>
      <w:r w:rsidRPr="00A72997">
        <w:rPr>
          <w:rFonts w:ascii="Times New Roman" w:hAnsi="Times New Roman" w:cs="Times New Roman"/>
          <w:i/>
        </w:rPr>
        <w:t>compositional</w:t>
      </w:r>
      <w:r w:rsidRPr="00A72997">
        <w:rPr>
          <w:rFonts w:ascii="Times New Roman" w:hAnsi="Times New Roman" w:cs="Times New Roman"/>
        </w:rPr>
        <w:t>, existence-conferring efficient causation.  Physical theories indicate that the universe is compositional and dynamic.</w:t>
      </w:r>
      <w:r w:rsidRPr="00A72997">
        <w:rPr>
          <w:rFonts w:ascii="Times New Roman" w:hAnsi="Times New Roman" w:cs="Times New Roman"/>
          <w:i/>
        </w:rPr>
        <w:t xml:space="preserve"> </w:t>
      </w:r>
      <w:r w:rsidRPr="00A72997">
        <w:rPr>
          <w:rFonts w:ascii="Times New Roman" w:hAnsi="Times New Roman" w:cs="Times New Roman"/>
        </w:rPr>
        <w:t xml:space="preserve">We postulate that when God acts in sustaining and providentially guiding the world—whether </w:t>
      </w:r>
      <w:r w:rsidRPr="00A72997">
        <w:rPr>
          <w:rFonts w:ascii="Times New Roman" w:hAnsi="Times New Roman" w:cs="Times New Roman"/>
          <w:i/>
        </w:rPr>
        <w:t>minimally</w:t>
      </w:r>
      <w:r w:rsidRPr="00A72997">
        <w:rPr>
          <w:rFonts w:ascii="Times New Roman" w:hAnsi="Times New Roman" w:cs="Times New Roman"/>
        </w:rPr>
        <w:t xml:space="preserve"> </w:t>
      </w:r>
      <w:r w:rsidRPr="00A72997">
        <w:rPr>
          <w:rFonts w:ascii="Times New Roman" w:hAnsi="Times New Roman" w:cs="Times New Roman"/>
          <w:i/>
        </w:rPr>
        <w:t>at</w:t>
      </w:r>
      <w:r w:rsidRPr="00A72997">
        <w:rPr>
          <w:rFonts w:ascii="Times New Roman" w:hAnsi="Times New Roman" w:cs="Times New Roman"/>
        </w:rPr>
        <w:t xml:space="preserve"> a Planck volume </w:t>
      </w:r>
      <w:r w:rsidRPr="00A72997">
        <w:rPr>
          <w:rFonts w:ascii="Times New Roman" w:hAnsi="Times New Roman" w:cs="Times New Roman"/>
          <w:i/>
        </w:rPr>
        <w:t xml:space="preserve">for </w:t>
      </w:r>
      <w:r w:rsidRPr="00A72997">
        <w:rPr>
          <w:rFonts w:ascii="Times New Roman" w:hAnsi="Times New Roman" w:cs="Times New Roman"/>
        </w:rPr>
        <w:t xml:space="preserve">a Planck moment, or </w:t>
      </w:r>
      <w:r w:rsidRPr="00A72997">
        <w:rPr>
          <w:rFonts w:ascii="Times New Roman" w:hAnsi="Times New Roman" w:cs="Times New Roman"/>
          <w:i/>
        </w:rPr>
        <w:t>macroscopically</w:t>
      </w:r>
      <w:r w:rsidRPr="00A72997">
        <w:rPr>
          <w:rFonts w:ascii="Times New Roman" w:hAnsi="Times New Roman" w:cs="Times New Roman"/>
        </w:rPr>
        <w:t xml:space="preserve"> (which we perceive in terms of objects, properties and relations) or </w:t>
      </w:r>
      <w:r w:rsidRPr="00A72997">
        <w:rPr>
          <w:rFonts w:ascii="Times New Roman" w:hAnsi="Times New Roman" w:cs="Times New Roman"/>
          <w:i/>
        </w:rPr>
        <w:t>comprehensively</w:t>
      </w:r>
      <w:r w:rsidRPr="00A72997">
        <w:rPr>
          <w:rFonts w:ascii="Times New Roman" w:hAnsi="Times New Roman" w:cs="Times New Roman"/>
        </w:rPr>
        <w:t xml:space="preserve">, rendering the entire universe over some duration—God </w:t>
      </w:r>
      <w:r w:rsidRPr="00A72997">
        <w:rPr>
          <w:rFonts w:ascii="Times New Roman" w:hAnsi="Times New Roman" w:cs="Times New Roman"/>
          <w:i/>
        </w:rPr>
        <w:t>confers existence compositionally.</w:t>
      </w:r>
      <w:r w:rsidRPr="00A72997">
        <w:rPr>
          <w:rFonts w:ascii="Times New Roman" w:hAnsi="Times New Roman" w:cs="Times New Roman"/>
        </w:rPr>
        <w:t xml:space="preserve">  This view of divine action reflects a five-category ontology: </w:t>
      </w:r>
      <w:r w:rsidRPr="00A72997">
        <w:rPr>
          <w:rFonts w:ascii="Times New Roman" w:hAnsi="Times New Roman" w:cs="Times New Roman"/>
          <w:i/>
        </w:rPr>
        <w:t>God, possible worlds, dispositions, powers, structures.</w:t>
      </w:r>
      <w:r w:rsidRPr="00A72997">
        <w:rPr>
          <w:rFonts w:ascii="Times New Roman" w:hAnsi="Times New Roman" w:cs="Times New Roman"/>
        </w:rPr>
        <w:t xml:space="preserve">  The domain of </w:t>
      </w:r>
      <w:r w:rsidRPr="00A72997">
        <w:rPr>
          <w:rFonts w:ascii="Times New Roman" w:hAnsi="Times New Roman" w:cs="Times New Roman"/>
          <w:i/>
        </w:rPr>
        <w:t>possible worlds</w:t>
      </w:r>
      <w:r w:rsidRPr="00A72997">
        <w:rPr>
          <w:rFonts w:ascii="Times New Roman" w:hAnsi="Times New Roman" w:cs="Times New Roman"/>
        </w:rPr>
        <w:t xml:space="preserve"> is constituted by the content and extent of God’s awareness of God’s omni-competence.</w:t>
      </w:r>
      <w:r w:rsidRPr="00A72997">
        <w:rPr>
          <w:rFonts w:ascii="Times New Roman" w:hAnsi="Times New Roman" w:cs="Times New Roman"/>
          <w:color w:val="FF0000"/>
        </w:rPr>
        <w:t xml:space="preserve"> </w:t>
      </w:r>
      <w:r w:rsidRPr="00A72997">
        <w:rPr>
          <w:rFonts w:ascii="Times New Roman" w:hAnsi="Times New Roman" w:cs="Times New Roman"/>
          <w:color w:val="000000"/>
        </w:rPr>
        <w:t xml:space="preserve"> The </w:t>
      </w:r>
      <w:r w:rsidRPr="00A72997">
        <w:rPr>
          <w:rFonts w:ascii="Times New Roman" w:hAnsi="Times New Roman" w:cs="Times New Roman"/>
          <w:i/>
          <w:color w:val="000000"/>
        </w:rPr>
        <w:t xml:space="preserve">ways </w:t>
      </w:r>
      <w:r w:rsidRPr="00A72997">
        <w:rPr>
          <w:rFonts w:ascii="Times New Roman" w:hAnsi="Times New Roman" w:cs="Times New Roman"/>
          <w:color w:val="000000"/>
        </w:rPr>
        <w:t xml:space="preserve">God enacts his plans are mirrored in the latter three categories.  </w:t>
      </w:r>
    </w:p>
    <w:p w14:paraId="689EAC50" w14:textId="77777777" w:rsidR="00CE3E95" w:rsidRPr="00A72997" w:rsidRDefault="00CE3E95" w:rsidP="00CE3E95">
      <w:pPr>
        <w:spacing w:line="276" w:lineRule="auto"/>
        <w:jc w:val="both"/>
        <w:rPr>
          <w:rFonts w:ascii="Times New Roman" w:hAnsi="Times New Roman" w:cs="Times New Roman"/>
          <w:lang w:val="en-CA"/>
        </w:rPr>
      </w:pPr>
    </w:p>
    <w:p w14:paraId="70DB56BB" w14:textId="77777777" w:rsidR="00CE3E95" w:rsidRPr="00A72997" w:rsidRDefault="00CE3E95" w:rsidP="00CE3E95">
      <w:pPr>
        <w:spacing w:line="276" w:lineRule="auto"/>
        <w:jc w:val="both"/>
        <w:rPr>
          <w:rFonts w:ascii="Times New Roman" w:hAnsi="Times New Roman" w:cs="Times New Roman"/>
        </w:rPr>
      </w:pPr>
      <w:r w:rsidRPr="00A72997">
        <w:rPr>
          <w:rFonts w:ascii="Times New Roman" w:hAnsi="Times New Roman" w:cs="Times New Roman"/>
          <w:lang w:val="en-CA"/>
        </w:rPr>
        <w:fldChar w:fldCharType="begin"/>
      </w:r>
      <w:r w:rsidRPr="00A72997">
        <w:rPr>
          <w:rFonts w:ascii="Times New Roman" w:hAnsi="Times New Roman" w:cs="Times New Roman"/>
          <w:lang w:val="en-CA"/>
        </w:rPr>
        <w:instrText xml:space="preserve"> SEQ CHAPTER \h \r 1</w:instrText>
      </w:r>
      <w:r w:rsidRPr="00A72997">
        <w:rPr>
          <w:rFonts w:ascii="Times New Roman" w:hAnsi="Times New Roman" w:cs="Times New Roman"/>
          <w:lang w:val="en-CA"/>
        </w:rPr>
        <w:fldChar w:fldCharType="end"/>
      </w:r>
      <w:r w:rsidRPr="00A72997">
        <w:rPr>
          <w:rFonts w:ascii="Times New Roman" w:hAnsi="Times New Roman" w:cs="Times New Roman"/>
        </w:rPr>
        <w:t xml:space="preserve">In the third section we show that, while it shares the primary features with occasionalism, it is not strictly speaking a species of occasionalism because it fails to meet the third condition.  </w:t>
      </w:r>
      <w:r w:rsidRPr="00A72997">
        <w:rPr>
          <w:rFonts w:ascii="Times New Roman" w:hAnsi="Times New Roman" w:cs="Times New Roman"/>
          <w:color w:val="000000"/>
        </w:rPr>
        <w:t xml:space="preserve">Applied to God, the definition of occasional causation entails that, for any three causal relata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1</w:t>
      </w:r>
      <w:r w:rsidRPr="00A72997">
        <w:rPr>
          <w:rFonts w:ascii="Times New Roman" w:hAnsi="Times New Roman" w:cs="Times New Roman"/>
          <w:color w:val="000000"/>
        </w:rPr>
        <w:t xml:space="preserve">,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2</w:t>
      </w:r>
      <w:r w:rsidRPr="00A72997">
        <w:rPr>
          <w:rFonts w:ascii="Times New Roman" w:hAnsi="Times New Roman" w:cs="Times New Roman"/>
          <w:color w:val="000000"/>
        </w:rPr>
        <w:t xml:space="preserve">, and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3</w:t>
      </w:r>
      <w:r w:rsidRPr="00A72997">
        <w:rPr>
          <w:rFonts w:ascii="Times New Roman" w:hAnsi="Times New Roman" w:cs="Times New Roman"/>
          <w:color w:val="000000"/>
        </w:rPr>
        <w:t xml:space="preserve">, relatum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1</w:t>
      </w:r>
      <w:r w:rsidRPr="00A72997">
        <w:rPr>
          <w:rFonts w:ascii="Times New Roman" w:hAnsi="Times New Roman" w:cs="Times New Roman"/>
          <w:color w:val="000000"/>
        </w:rPr>
        <w:t xml:space="preserve"> is a necessary, though causally-otiose, </w:t>
      </w:r>
      <w:r w:rsidRPr="00A72997">
        <w:rPr>
          <w:rFonts w:ascii="Times New Roman" w:hAnsi="Times New Roman" w:cs="Times New Roman"/>
          <w:i/>
          <w:color w:val="000000"/>
        </w:rPr>
        <w:t>precipitating</w:t>
      </w:r>
      <w:r w:rsidRPr="00A72997">
        <w:rPr>
          <w:rFonts w:ascii="Times New Roman" w:hAnsi="Times New Roman" w:cs="Times New Roman"/>
          <w:color w:val="000000"/>
        </w:rPr>
        <w:t xml:space="preserve"> condition which precedes God’s efficiently causing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3</w:t>
      </w:r>
      <w:r w:rsidRPr="00A72997">
        <w:rPr>
          <w:rFonts w:ascii="Times New Roman" w:hAnsi="Times New Roman" w:cs="Times New Roman"/>
          <w:color w:val="000000"/>
        </w:rPr>
        <w:t>.  God as</w:t>
      </w:r>
      <w:r w:rsidRPr="00A72997">
        <w:rPr>
          <w:rFonts w:ascii="Times New Roman" w:hAnsi="Times New Roman" w:cs="Times New Roman"/>
          <w:i/>
          <w:color w:val="000000"/>
        </w:rPr>
        <w:t xml:space="preserve"> agent</w:t>
      </w:r>
      <w:r w:rsidRPr="00A72997">
        <w:rPr>
          <w:rFonts w:ascii="Times New Roman" w:hAnsi="Times New Roman" w:cs="Times New Roman"/>
          <w:color w:val="000000"/>
        </w:rPr>
        <w:t xml:space="preserve"> is causal relatum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2</w:t>
      </w:r>
      <w:r w:rsidRPr="00A72997">
        <w:rPr>
          <w:rFonts w:ascii="Times New Roman" w:hAnsi="Times New Roman" w:cs="Times New Roman"/>
          <w:color w:val="000000"/>
        </w:rPr>
        <w:t>.  This, in turn, is consistent with our proposal that dispositions are God’s</w:t>
      </w:r>
      <w:r w:rsidRPr="00A72997">
        <w:rPr>
          <w:rFonts w:ascii="Times New Roman" w:hAnsi="Times New Roman" w:cs="Times New Roman"/>
          <w:i/>
          <w:color w:val="000000"/>
        </w:rPr>
        <w:t xml:space="preserve"> commitment to act on condition</w:t>
      </w:r>
      <w:r w:rsidRPr="00A72997">
        <w:rPr>
          <w:rFonts w:ascii="Times New Roman" w:hAnsi="Times New Roman" w:cs="Times New Roman"/>
          <w:color w:val="000000"/>
        </w:rPr>
        <w:t xml:space="preserve">, (where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1</w:t>
      </w:r>
      <w:r w:rsidRPr="00A72997">
        <w:rPr>
          <w:rFonts w:ascii="Times New Roman" w:hAnsi="Times New Roman" w:cs="Times New Roman"/>
          <w:color w:val="000000"/>
        </w:rPr>
        <w:t xml:space="preserve"> is that condition).  However, no version of occasionalism that we are aware of treats </w:t>
      </w:r>
      <w:r w:rsidRPr="00A72997">
        <w:rPr>
          <w:rFonts w:ascii="Times New Roman" w:hAnsi="Times New Roman" w:cs="Times New Roman"/>
          <w:i/>
          <w:color w:val="000000"/>
        </w:rPr>
        <w:t>r</w:t>
      </w:r>
      <w:r w:rsidRPr="00A72997">
        <w:rPr>
          <w:rFonts w:ascii="Times New Roman" w:hAnsi="Times New Roman" w:cs="Times New Roman"/>
          <w:color w:val="000000"/>
          <w:vertAlign w:val="superscript"/>
        </w:rPr>
        <w:t>1</w:t>
      </w:r>
      <w:r w:rsidRPr="00A72997">
        <w:rPr>
          <w:rFonts w:ascii="Times New Roman" w:hAnsi="Times New Roman" w:cs="Times New Roman"/>
          <w:color w:val="000000"/>
        </w:rPr>
        <w:t xml:space="preserve"> as something that satisfies a condition upon which God is committed to act and, according to </w:t>
      </w:r>
      <w:r w:rsidRPr="00A72997">
        <w:rPr>
          <w:rFonts w:ascii="Times New Roman" w:hAnsi="Times New Roman" w:cs="Times New Roman"/>
          <w:i/>
          <w:color w:val="000000"/>
        </w:rPr>
        <w:t>Divine Compositionalism,</w:t>
      </w:r>
      <w:r w:rsidRPr="00A72997">
        <w:rPr>
          <w:rFonts w:ascii="Times New Roman" w:hAnsi="Times New Roman" w:cs="Times New Roman"/>
          <w:color w:val="000000"/>
        </w:rPr>
        <w:t xml:space="preserve"> God is not a causal relatum.  We conclude that</w:t>
      </w:r>
      <w:r w:rsidRPr="00A72997">
        <w:rPr>
          <w:rFonts w:ascii="Times New Roman" w:hAnsi="Times New Roman" w:cs="Times New Roman"/>
        </w:rPr>
        <w:t>, since by definition it fails also to be a species of concurrentism, it should be considered an alternative to both occasionalism and concurrentism.</w:t>
      </w:r>
    </w:p>
    <w:p w14:paraId="2A455F6B" w14:textId="77777777" w:rsidR="00CE3E95" w:rsidRPr="00A72997" w:rsidRDefault="00CE3E95" w:rsidP="00CE3E95">
      <w:pPr>
        <w:spacing w:line="276" w:lineRule="auto"/>
        <w:jc w:val="both"/>
        <w:rPr>
          <w:rFonts w:ascii="Times New Roman" w:hAnsi="Times New Roman" w:cs="Times New Roman"/>
        </w:rPr>
      </w:pPr>
    </w:p>
    <w:p w14:paraId="299B4928" w14:textId="77777777" w:rsidR="00CE3E95" w:rsidRPr="00A72997" w:rsidRDefault="00CE3E95" w:rsidP="00CE3E95">
      <w:pPr>
        <w:spacing w:line="276" w:lineRule="auto"/>
        <w:jc w:val="both"/>
        <w:rPr>
          <w:rFonts w:ascii="Times New Roman" w:hAnsi="Times New Roman" w:cs="Times New Roman"/>
          <w:color w:val="000000" w:themeColor="text1"/>
        </w:rPr>
      </w:pPr>
      <w:r w:rsidRPr="00A72997">
        <w:rPr>
          <w:rFonts w:ascii="Times New Roman" w:hAnsi="Times New Roman" w:cs="Times New Roman"/>
        </w:rPr>
        <w:t>In the fourth and final section we outline how Divine Compositionalism accounts for dispositional properties in physics, chemistry, and mechanisms in biology, which are two areas for which occasionalism has not provided an account in the literature to date. Therefore, Divine Compositionalism is a more comprehensive view of divine creative action.</w:t>
      </w:r>
    </w:p>
    <w:p w14:paraId="45525BDF" w14:textId="77777777" w:rsidR="00CE3E95" w:rsidRDefault="00CE3E95"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Book Antiqua" w:hAnsi="Book Antiqua"/>
          <w:color w:val="000000"/>
          <w:sz w:val="22"/>
        </w:rPr>
      </w:pPr>
    </w:p>
    <w:p w14:paraId="039B59C6" w14:textId="77777777" w:rsidR="00CE3E95" w:rsidRPr="004055B6" w:rsidRDefault="00CE3E95"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Times New Roman" w:hAnsi="Times New Roman" w:cs="Times New Roman"/>
          <w:color w:val="000000"/>
          <w:sz w:val="22"/>
        </w:rPr>
      </w:pPr>
    </w:p>
    <w:p w14:paraId="5B8D8571" w14:textId="41A644B9" w:rsidR="004055B6" w:rsidRPr="004055B6" w:rsidRDefault="004055B6"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Times New Roman" w:hAnsi="Times New Roman" w:cs="Times New Roman"/>
          <w:b/>
        </w:rPr>
      </w:pPr>
      <w:r w:rsidRPr="004055B6">
        <w:rPr>
          <w:rFonts w:ascii="Times New Roman" w:hAnsi="Times New Roman" w:cs="Times New Roman"/>
          <w:b/>
        </w:rPr>
        <w:t>Daniel Lim, “Occasionalism and Non-reductive Physicalism: Another Look at the Continuous Creation Argument”</w:t>
      </w:r>
    </w:p>
    <w:p w14:paraId="22A746E6" w14:textId="77777777" w:rsidR="004055B6" w:rsidRPr="004055B6" w:rsidRDefault="004055B6"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Times New Roman" w:hAnsi="Times New Roman" w:cs="Times New Roman"/>
        </w:rPr>
      </w:pPr>
    </w:p>
    <w:p w14:paraId="79CFB9A6" w14:textId="2A2AC0AF" w:rsidR="00CE3E95" w:rsidRPr="004055B6" w:rsidRDefault="004055B6"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Times New Roman" w:hAnsi="Times New Roman" w:cs="Times New Roman"/>
          <w:color w:val="000000"/>
        </w:rPr>
      </w:pPr>
      <w:r w:rsidRPr="004055B6">
        <w:rPr>
          <w:rFonts w:ascii="Times New Roman" w:hAnsi="Times New Roman" w:cs="Times New Roman"/>
        </w:rPr>
        <w:t xml:space="preserve">Malebranche’s so-called Conservation is Continuous Creation (CCC) argument has has been used to defend Occasionalism – the claim that only God has and exercises causal powers. In this paper I want to examine the CCC argument for Occasionalism by comparing it to Jaegwon Kim’s so-called Supervenience argument against Non-Reductive Physicalism (NRP). Because the arguments have deep similarities it is interesting and fruitful to consider them in tandem. First I argue that both the CCC argument and the Supervenience argument turn on the same general principle, what Kim calls Edward’s Dictum. It is doubtful that Malebranche or Kim </w:t>
      </w:r>
      <w:r w:rsidR="00A72997" w:rsidRPr="004055B6">
        <w:rPr>
          <w:rFonts w:ascii="Times New Roman" w:hAnsi="Times New Roman" w:cs="Times New Roman"/>
        </w:rPr>
        <w:t>succeeds</w:t>
      </w:r>
      <w:r w:rsidRPr="004055B6">
        <w:rPr>
          <w:rFonts w:ascii="Times New Roman" w:hAnsi="Times New Roman" w:cs="Times New Roman"/>
        </w:rPr>
        <w:t xml:space="preserve"> in grounding Edward’s Dictum, though Malebranche has more resources at his disposal to make his case. Even if this worry is waived, however, I argue that the completion of Stage 1 of the Superveni</w:t>
      </w:r>
      <w:bookmarkStart w:id="0" w:name="_GoBack"/>
      <w:bookmarkEnd w:id="0"/>
      <w:r w:rsidRPr="004055B6">
        <w:rPr>
          <w:rFonts w:ascii="Times New Roman" w:hAnsi="Times New Roman" w:cs="Times New Roman"/>
        </w:rPr>
        <w:t>ence argument can be used to raise a further worry for the CCC argument that cannot easily be resolved.</w:t>
      </w:r>
    </w:p>
    <w:p w14:paraId="1749B88D" w14:textId="77777777" w:rsidR="0018743E" w:rsidRPr="0018743E" w:rsidRDefault="0018743E" w:rsidP="00E76D3E">
      <w:pPr>
        <w:rPr>
          <w:rFonts w:ascii="Times New Roman" w:hAnsi="Times New Roman" w:cs="Times New Roman"/>
        </w:rPr>
      </w:pPr>
    </w:p>
    <w:sectPr w:rsidR="0018743E" w:rsidRPr="0018743E" w:rsidSect="0036388C">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897F86" w14:textId="77777777" w:rsidR="00CE3E95" w:rsidRDefault="00CE3E95" w:rsidP="00CE3E95">
      <w:r>
        <w:separator/>
      </w:r>
    </w:p>
  </w:endnote>
  <w:endnote w:type="continuationSeparator" w:id="0">
    <w:p w14:paraId="77F51E17" w14:textId="77777777" w:rsidR="00CE3E95" w:rsidRDefault="00CE3E95" w:rsidP="00CE3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1DF88" w14:textId="77777777" w:rsidR="00C65781" w:rsidRDefault="00C65781" w:rsidP="003D32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1C3DF5" w14:textId="77777777" w:rsidR="00C65781" w:rsidRDefault="00C65781" w:rsidP="00C6578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032D0" w14:textId="77777777" w:rsidR="00C65781" w:rsidRDefault="00C65781" w:rsidP="003D32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2997">
      <w:rPr>
        <w:rStyle w:val="PageNumber"/>
        <w:noProof/>
      </w:rPr>
      <w:t>1</w:t>
    </w:r>
    <w:r>
      <w:rPr>
        <w:rStyle w:val="PageNumber"/>
      </w:rPr>
      <w:fldChar w:fldCharType="end"/>
    </w:r>
  </w:p>
  <w:p w14:paraId="1765FE79" w14:textId="77777777" w:rsidR="00C65781" w:rsidRDefault="00C65781" w:rsidP="00C6578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FAFEE5" w14:textId="77777777" w:rsidR="00CE3E95" w:rsidRDefault="00CE3E95" w:rsidP="00CE3E95">
      <w:r>
        <w:separator/>
      </w:r>
    </w:p>
  </w:footnote>
  <w:footnote w:type="continuationSeparator" w:id="0">
    <w:p w14:paraId="611AACC1" w14:textId="77777777" w:rsidR="00CE3E95" w:rsidRDefault="00CE3E95" w:rsidP="00CE3E95">
      <w:r>
        <w:continuationSeparator/>
      </w:r>
    </w:p>
  </w:footnote>
  <w:footnote w:id="1">
    <w:p w14:paraId="1AF2EEE1" w14:textId="2CD24FE0" w:rsidR="00CE3E95" w:rsidRPr="00CE3E95" w:rsidRDefault="00CE3E95"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Book Antiqua" w:hAnsi="Book Antiqua" w:cs="Book Antiqua"/>
          <w:sz w:val="20"/>
          <w:szCs w:val="20"/>
        </w:rPr>
      </w:pPr>
      <w:r w:rsidRPr="00CE3E95">
        <w:rPr>
          <w:rStyle w:val="FootnoteReference"/>
          <w:sz w:val="20"/>
          <w:szCs w:val="20"/>
        </w:rPr>
        <w:footnoteRef/>
      </w:r>
      <w:r w:rsidRPr="00CE3E95">
        <w:rPr>
          <w:sz w:val="20"/>
          <w:szCs w:val="20"/>
        </w:rPr>
        <w:t xml:space="preserve"> </w:t>
      </w:r>
      <w:r w:rsidRPr="00CE3E95">
        <w:rPr>
          <w:rFonts w:ascii="Book Antiqua" w:hAnsi="Book Antiqua" w:cs="Book Antiqua"/>
          <w:sz w:val="20"/>
          <w:szCs w:val="20"/>
        </w:rPr>
        <w:t xml:space="preserve">Timoth D. Miller, Continuous creation and secondary causes: the threat of occasionalism.  </w:t>
      </w:r>
      <w:r w:rsidRPr="00CE3E95">
        <w:rPr>
          <w:rFonts w:ascii="Book Antiqua" w:hAnsi="Book Antiqua" w:cs="Book Antiqua"/>
          <w:i/>
          <w:sz w:val="20"/>
          <w:szCs w:val="20"/>
        </w:rPr>
        <w:t xml:space="preserve">Religious Studies </w:t>
      </w:r>
      <w:r w:rsidRPr="00CE3E95">
        <w:rPr>
          <w:rFonts w:ascii="Book Antiqua" w:hAnsi="Book Antiqua" w:cs="Book Antiqua"/>
          <w:sz w:val="20"/>
          <w:szCs w:val="20"/>
        </w:rPr>
        <w:t>(2010): 1-20.</w:t>
      </w:r>
    </w:p>
  </w:footnote>
  <w:footnote w:id="2">
    <w:p w14:paraId="7577536E" w14:textId="1B4F184C" w:rsidR="00CE3E95" w:rsidRPr="00CE3E95" w:rsidRDefault="00CE3E95" w:rsidP="00CE3E9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276" w:lineRule="auto"/>
        <w:jc w:val="both"/>
        <w:rPr>
          <w:rFonts w:ascii="Book Antiqua" w:hAnsi="Book Antiqua"/>
          <w:sz w:val="20"/>
          <w:szCs w:val="20"/>
        </w:rPr>
      </w:pPr>
      <w:r w:rsidRPr="00CE3E95">
        <w:rPr>
          <w:rStyle w:val="FootnoteReference"/>
          <w:sz w:val="20"/>
          <w:szCs w:val="20"/>
        </w:rPr>
        <w:footnoteRef/>
      </w:r>
      <w:r w:rsidRPr="00CE3E95">
        <w:rPr>
          <w:sz w:val="20"/>
          <w:szCs w:val="20"/>
        </w:rPr>
        <w:t xml:space="preserve"> </w:t>
      </w:r>
      <w:r w:rsidRPr="00CE3E95">
        <w:rPr>
          <w:rFonts w:ascii="Book Antiqua" w:hAnsi="Book Antiqua"/>
          <w:sz w:val="20"/>
          <w:szCs w:val="20"/>
        </w:rPr>
        <w:t xml:space="preserve">Steven Nadler. </w:t>
      </w:r>
      <w:r w:rsidRPr="00CE3E95">
        <w:rPr>
          <w:rFonts w:ascii="Book Antiqua" w:hAnsi="Book Antiqua"/>
          <w:i/>
          <w:sz w:val="20"/>
          <w:szCs w:val="20"/>
        </w:rPr>
        <w:t>Occasionalism: Causation Among the Cartesians</w:t>
      </w:r>
      <w:r w:rsidRPr="00CE3E95">
        <w:rPr>
          <w:rFonts w:ascii="Book Antiqua" w:hAnsi="Book Antiqua"/>
          <w:sz w:val="20"/>
          <w:szCs w:val="20"/>
        </w:rPr>
        <w:t>. (Oxford: Oxford University Press, 2011):  35.</w:t>
      </w:r>
    </w:p>
  </w:footnote>
  <w:footnote w:id="3">
    <w:p w14:paraId="7DC8A4CF" w14:textId="77777777" w:rsidR="00CE3E95" w:rsidRPr="00CE3E95" w:rsidRDefault="00CE3E95" w:rsidP="00CE3E95">
      <w:pPr>
        <w:jc w:val="both"/>
        <w:rPr>
          <w:sz w:val="20"/>
          <w:szCs w:val="20"/>
        </w:rPr>
      </w:pPr>
      <w:r w:rsidRPr="00CE3E95">
        <w:rPr>
          <w:rStyle w:val="FootnoteReference"/>
          <w:sz w:val="20"/>
          <w:szCs w:val="20"/>
        </w:rPr>
        <w:footnoteRef/>
      </w:r>
      <w:r w:rsidRPr="00CE3E95">
        <w:rPr>
          <w:sz w:val="20"/>
          <w:szCs w:val="20"/>
        </w:rPr>
        <w:t xml:space="preserve"> </w:t>
      </w:r>
      <w:r w:rsidRPr="00CE3E95">
        <w:rPr>
          <w:rFonts w:ascii="Book Antiqua" w:hAnsi="Book Antiqua" w:cs="Book Antiqua"/>
          <w:sz w:val="20"/>
          <w:szCs w:val="20"/>
        </w:rPr>
        <w:t>“While the commitments of individual philosophers varied, in its pure form, occasionalism was a global denial of causality outside the direct and immediate volitional activity of God</w:t>
      </w:r>
      <w:r w:rsidRPr="00CE3E95">
        <w:rPr>
          <w:rFonts w:ascii="Book Antiqua" w:hAnsi="Book Antiqua" w:cs="Book Antiqua"/>
          <w:color w:val="FF0000"/>
          <w:sz w:val="20"/>
          <w:szCs w:val="20"/>
        </w:rPr>
        <w:t xml:space="preserve"> </w:t>
      </w:r>
      <w:r w:rsidRPr="00CE3E95">
        <w:rPr>
          <w:rFonts w:ascii="Book Antiqua" w:hAnsi="Book Antiqua" w:cs="Book Antiqua"/>
          <w:sz w:val="20"/>
          <w:szCs w:val="20"/>
        </w:rPr>
        <w:t xml:space="preserve">—both between bodies and between minds and bodies.” </w:t>
      </w:r>
      <w:r w:rsidRPr="00CE3E95">
        <w:rPr>
          <w:rFonts w:ascii="Book Antiqua" w:hAnsi="Book Antiqua" w:cs="Book Antiqua"/>
          <w:color w:val="0000FF"/>
          <w:sz w:val="20"/>
          <w:szCs w:val="20"/>
          <w:u w:val="single"/>
        </w:rPr>
        <w:t>http://www.iep.utm.edu/occasion/</w:t>
      </w:r>
      <w:r w:rsidRPr="00CE3E95">
        <w:rPr>
          <w:rFonts w:ascii="Book Antiqua" w:hAnsi="Book Antiqua" w:cs="Book Antiqua"/>
          <w:sz w:val="20"/>
          <w:szCs w:val="20"/>
        </w:rPr>
        <w:t xml:space="preserve">   As stated, this account does not rule out the existence of a competing, though suppressed, source of causality.  </w:t>
      </w:r>
    </w:p>
  </w:footnote>
  <w:footnote w:id="4">
    <w:p w14:paraId="1567912A" w14:textId="77777777" w:rsidR="00CE3E95" w:rsidRDefault="00CE3E95" w:rsidP="00CE3E95">
      <w:pPr>
        <w:pStyle w:val="FootnoteText"/>
        <w:spacing w:line="240" w:lineRule="auto"/>
      </w:pPr>
      <w:r w:rsidRPr="00CE3E95">
        <w:rPr>
          <w:rStyle w:val="FootnoteReference"/>
        </w:rPr>
        <w:footnoteRef/>
      </w:r>
      <w:r w:rsidRPr="00CE3E95">
        <w:t xml:space="preserve"> See Nadler (2011): 30-37.</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150"/>
    <w:rsid w:val="000E4150"/>
    <w:rsid w:val="0018743E"/>
    <w:rsid w:val="0036388C"/>
    <w:rsid w:val="004055B6"/>
    <w:rsid w:val="008D4DFB"/>
    <w:rsid w:val="00A72997"/>
    <w:rsid w:val="00C65781"/>
    <w:rsid w:val="00CE3E95"/>
    <w:rsid w:val="00E76D3E"/>
    <w:rsid w:val="00F25E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F6AD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6D3E"/>
    <w:pPr>
      <w:spacing w:before="100" w:beforeAutospacing="1" w:after="100" w:afterAutospacing="1"/>
    </w:pPr>
    <w:rPr>
      <w:rFonts w:ascii="Times New Roman" w:eastAsia="Times New Roman" w:hAnsi="Times New Roman" w:cs="Times New Roman"/>
    </w:rPr>
  </w:style>
  <w:style w:type="paragraph" w:customStyle="1" w:styleId="Body">
    <w:name w:val="Body"/>
    <w:autoRedefine/>
    <w:rsid w:val="0018743E"/>
    <w:rPr>
      <w:rFonts w:ascii="Helvetica" w:eastAsia="ヒラギノ角ゴ Pro W3" w:hAnsi="Helvetica" w:cs="Times New Roman"/>
      <w:color w:val="000000"/>
      <w:szCs w:val="20"/>
    </w:rPr>
  </w:style>
  <w:style w:type="character" w:styleId="FootnoteReference">
    <w:name w:val="footnote reference"/>
    <w:basedOn w:val="DefaultParagraphFont"/>
    <w:uiPriority w:val="99"/>
    <w:semiHidden/>
    <w:rsid w:val="00CE3E95"/>
    <w:rPr>
      <w:rFonts w:cs="Times New Roman"/>
      <w:vertAlign w:val="superscript"/>
    </w:rPr>
  </w:style>
  <w:style w:type="paragraph" w:styleId="FootnoteText">
    <w:name w:val="footnote text"/>
    <w:basedOn w:val="Normal"/>
    <w:link w:val="FootnoteTextChar"/>
    <w:uiPriority w:val="99"/>
    <w:semiHidden/>
    <w:rsid w:val="00CE3E95"/>
    <w:pPr>
      <w:widowControl w:val="0"/>
      <w:spacing w:line="312" w:lineRule="auto"/>
      <w:jc w:val="both"/>
    </w:pPr>
    <w:rPr>
      <w:rFonts w:ascii="Book Antiqua" w:eastAsia="Times New Roman" w:hAnsi="Book Antiqua" w:cs="Times New Roman"/>
      <w:sz w:val="20"/>
      <w:szCs w:val="20"/>
    </w:rPr>
  </w:style>
  <w:style w:type="character" w:customStyle="1" w:styleId="FootnoteTextChar">
    <w:name w:val="Footnote Text Char"/>
    <w:basedOn w:val="DefaultParagraphFont"/>
    <w:link w:val="FootnoteText"/>
    <w:uiPriority w:val="99"/>
    <w:semiHidden/>
    <w:rsid w:val="00CE3E95"/>
    <w:rPr>
      <w:rFonts w:ascii="Book Antiqua" w:eastAsia="Times New Roman" w:hAnsi="Book Antiqua" w:cs="Times New Roman"/>
      <w:sz w:val="20"/>
      <w:szCs w:val="20"/>
    </w:rPr>
  </w:style>
  <w:style w:type="paragraph" w:styleId="Footer">
    <w:name w:val="footer"/>
    <w:basedOn w:val="Normal"/>
    <w:link w:val="FooterChar"/>
    <w:uiPriority w:val="99"/>
    <w:unhideWhenUsed/>
    <w:rsid w:val="00C65781"/>
    <w:pPr>
      <w:tabs>
        <w:tab w:val="center" w:pos="4320"/>
        <w:tab w:val="right" w:pos="8640"/>
      </w:tabs>
    </w:pPr>
  </w:style>
  <w:style w:type="character" w:customStyle="1" w:styleId="FooterChar">
    <w:name w:val="Footer Char"/>
    <w:basedOn w:val="DefaultParagraphFont"/>
    <w:link w:val="Footer"/>
    <w:uiPriority w:val="99"/>
    <w:rsid w:val="00C65781"/>
  </w:style>
  <w:style w:type="character" w:styleId="PageNumber">
    <w:name w:val="page number"/>
    <w:basedOn w:val="DefaultParagraphFont"/>
    <w:uiPriority w:val="99"/>
    <w:semiHidden/>
    <w:unhideWhenUsed/>
    <w:rsid w:val="00C657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6D3E"/>
    <w:pPr>
      <w:spacing w:before="100" w:beforeAutospacing="1" w:after="100" w:afterAutospacing="1"/>
    </w:pPr>
    <w:rPr>
      <w:rFonts w:ascii="Times New Roman" w:eastAsia="Times New Roman" w:hAnsi="Times New Roman" w:cs="Times New Roman"/>
    </w:rPr>
  </w:style>
  <w:style w:type="paragraph" w:customStyle="1" w:styleId="Body">
    <w:name w:val="Body"/>
    <w:autoRedefine/>
    <w:rsid w:val="0018743E"/>
    <w:rPr>
      <w:rFonts w:ascii="Helvetica" w:eastAsia="ヒラギノ角ゴ Pro W3" w:hAnsi="Helvetica" w:cs="Times New Roman"/>
      <w:color w:val="000000"/>
      <w:szCs w:val="20"/>
    </w:rPr>
  </w:style>
  <w:style w:type="character" w:styleId="FootnoteReference">
    <w:name w:val="footnote reference"/>
    <w:basedOn w:val="DefaultParagraphFont"/>
    <w:uiPriority w:val="99"/>
    <w:semiHidden/>
    <w:rsid w:val="00CE3E95"/>
    <w:rPr>
      <w:rFonts w:cs="Times New Roman"/>
      <w:vertAlign w:val="superscript"/>
    </w:rPr>
  </w:style>
  <w:style w:type="paragraph" w:styleId="FootnoteText">
    <w:name w:val="footnote text"/>
    <w:basedOn w:val="Normal"/>
    <w:link w:val="FootnoteTextChar"/>
    <w:uiPriority w:val="99"/>
    <w:semiHidden/>
    <w:rsid w:val="00CE3E95"/>
    <w:pPr>
      <w:widowControl w:val="0"/>
      <w:spacing w:line="312" w:lineRule="auto"/>
      <w:jc w:val="both"/>
    </w:pPr>
    <w:rPr>
      <w:rFonts w:ascii="Book Antiqua" w:eastAsia="Times New Roman" w:hAnsi="Book Antiqua" w:cs="Times New Roman"/>
      <w:sz w:val="20"/>
      <w:szCs w:val="20"/>
    </w:rPr>
  </w:style>
  <w:style w:type="character" w:customStyle="1" w:styleId="FootnoteTextChar">
    <w:name w:val="Footnote Text Char"/>
    <w:basedOn w:val="DefaultParagraphFont"/>
    <w:link w:val="FootnoteText"/>
    <w:uiPriority w:val="99"/>
    <w:semiHidden/>
    <w:rsid w:val="00CE3E95"/>
    <w:rPr>
      <w:rFonts w:ascii="Book Antiqua" w:eastAsia="Times New Roman" w:hAnsi="Book Antiqua" w:cs="Times New Roman"/>
      <w:sz w:val="20"/>
      <w:szCs w:val="20"/>
    </w:rPr>
  </w:style>
  <w:style w:type="paragraph" w:styleId="Footer">
    <w:name w:val="footer"/>
    <w:basedOn w:val="Normal"/>
    <w:link w:val="FooterChar"/>
    <w:uiPriority w:val="99"/>
    <w:unhideWhenUsed/>
    <w:rsid w:val="00C65781"/>
    <w:pPr>
      <w:tabs>
        <w:tab w:val="center" w:pos="4320"/>
        <w:tab w:val="right" w:pos="8640"/>
      </w:tabs>
    </w:pPr>
  </w:style>
  <w:style w:type="character" w:customStyle="1" w:styleId="FooterChar">
    <w:name w:val="Footer Char"/>
    <w:basedOn w:val="DefaultParagraphFont"/>
    <w:link w:val="Footer"/>
    <w:uiPriority w:val="99"/>
    <w:rsid w:val="00C65781"/>
  </w:style>
  <w:style w:type="character" w:styleId="PageNumber">
    <w:name w:val="page number"/>
    <w:basedOn w:val="DefaultParagraphFont"/>
    <w:uiPriority w:val="99"/>
    <w:semiHidden/>
    <w:unhideWhenUsed/>
    <w:rsid w:val="00C65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3019</Words>
  <Characters>17214</Characters>
  <Application>Microsoft Macintosh Word</Application>
  <DocSecurity>0</DocSecurity>
  <Lines>143</Lines>
  <Paragraphs>40</Paragraphs>
  <ScaleCrop>false</ScaleCrop>
  <Company/>
  <LinksUpToDate>false</LinksUpToDate>
  <CharactersWithSpaces>20193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Nazif Muhtaroglu</dc:creator>
  <cp:keywords/>
  <dc:description/>
  <cp:lastModifiedBy>Nazif Muhtaroglu</cp:lastModifiedBy>
  <cp:revision>8</cp:revision>
  <dcterms:created xsi:type="dcterms:W3CDTF">2013-04-30T22:28:00Z</dcterms:created>
  <dcterms:modified xsi:type="dcterms:W3CDTF">2013-05-01T16:03:00Z</dcterms:modified>
</cp:coreProperties>
</file>